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AE0" w:rsidRPr="00240AE0" w:rsidRDefault="00240AE0" w:rsidP="00240AE0">
      <w:pPr>
        <w:tabs>
          <w:tab w:val="left" w:pos="851"/>
        </w:tabs>
        <w:spacing w:line="360" w:lineRule="auto"/>
        <w:jc w:val="center"/>
        <w:rPr>
          <w:sz w:val="24"/>
          <w:szCs w:val="24"/>
          <w:lang w:val="ru-RU"/>
        </w:rPr>
      </w:pPr>
      <w:r w:rsidRPr="00240AE0">
        <w:rPr>
          <w:b/>
          <w:sz w:val="24"/>
          <w:szCs w:val="24"/>
          <w:lang w:val="ru-RU"/>
        </w:rPr>
        <w:t>Препорък</w:t>
      </w:r>
      <w:r w:rsidR="00046E99">
        <w:rPr>
          <w:b/>
          <w:sz w:val="24"/>
          <w:szCs w:val="24"/>
          <w:lang w:val="bg-BG"/>
        </w:rPr>
        <w:t>и</w:t>
      </w:r>
      <w:r w:rsidRPr="00240AE0">
        <w:rPr>
          <w:b/>
          <w:sz w:val="24"/>
          <w:szCs w:val="24"/>
          <w:lang w:val="ru-RU"/>
        </w:rPr>
        <w:t xml:space="preserve"> на Експертният съвет по медицинската специалност „</w:t>
      </w:r>
      <w:r>
        <w:rPr>
          <w:b/>
          <w:sz w:val="24"/>
          <w:szCs w:val="24"/>
          <w:lang w:val="bg-BG"/>
        </w:rPr>
        <w:t>Клинична имунология</w:t>
      </w:r>
      <w:r w:rsidRPr="00240AE0">
        <w:rPr>
          <w:b/>
          <w:sz w:val="24"/>
          <w:szCs w:val="24"/>
          <w:lang w:val="ru-RU"/>
        </w:rPr>
        <w:t>“ относно ваксиниране срещу COVID-19</w:t>
      </w:r>
    </w:p>
    <w:p w:rsidR="00240AE0" w:rsidRDefault="00240AE0" w:rsidP="00240AE0">
      <w:pPr>
        <w:spacing w:line="360" w:lineRule="auto"/>
        <w:ind w:left="-14" w:right="0" w:firstLine="662"/>
        <w:rPr>
          <w:sz w:val="24"/>
          <w:szCs w:val="24"/>
        </w:rPr>
      </w:pPr>
    </w:p>
    <w:p w:rsidR="007027FF" w:rsidRPr="00240AE0" w:rsidRDefault="0089749F" w:rsidP="00240AE0">
      <w:pPr>
        <w:spacing w:after="27" w:line="360" w:lineRule="auto"/>
        <w:ind w:left="-14" w:right="0" w:firstLine="0"/>
        <w:rPr>
          <w:sz w:val="24"/>
          <w:szCs w:val="24"/>
        </w:rPr>
      </w:pPr>
      <w:proofErr w:type="spellStart"/>
      <w:r w:rsidRPr="00240AE0">
        <w:rPr>
          <w:sz w:val="24"/>
          <w:szCs w:val="24"/>
        </w:rPr>
        <w:t>От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имунологична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гледна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точка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лицата</w:t>
      </w:r>
      <w:proofErr w:type="spellEnd"/>
      <w:r w:rsidRPr="00240AE0">
        <w:rPr>
          <w:sz w:val="24"/>
          <w:szCs w:val="24"/>
        </w:rPr>
        <w:t xml:space="preserve"> с </w:t>
      </w:r>
      <w:proofErr w:type="spellStart"/>
      <w:r w:rsidRPr="00240AE0">
        <w:rPr>
          <w:sz w:val="24"/>
          <w:szCs w:val="24"/>
        </w:rPr>
        <w:t>автоимунни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онкологични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имунодефицитни</w:t>
      </w:r>
      <w:proofErr w:type="spellEnd"/>
      <w:r w:rsidRPr="00240AE0">
        <w:rPr>
          <w:sz w:val="24"/>
          <w:szCs w:val="24"/>
        </w:rPr>
        <w:t xml:space="preserve"> и </w:t>
      </w:r>
      <w:proofErr w:type="spellStart"/>
      <w:r w:rsidRPr="00240AE0">
        <w:rPr>
          <w:sz w:val="24"/>
          <w:szCs w:val="24"/>
        </w:rPr>
        <w:t>други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прид</w:t>
      </w:r>
      <w:proofErr w:type="spellEnd"/>
      <w:r w:rsidR="009F615E">
        <w:rPr>
          <w:sz w:val="24"/>
          <w:szCs w:val="24"/>
          <w:lang w:val="bg-BG"/>
        </w:rPr>
        <w:t>р</w:t>
      </w:r>
      <w:proofErr w:type="spellStart"/>
      <w:r w:rsidRPr="00240AE0">
        <w:rPr>
          <w:sz w:val="24"/>
          <w:szCs w:val="24"/>
        </w:rPr>
        <w:t>ужаващи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заболявания</w:t>
      </w:r>
      <w:proofErr w:type="spellEnd"/>
      <w:r w:rsidRPr="00240AE0">
        <w:rPr>
          <w:sz w:val="24"/>
          <w:szCs w:val="24"/>
        </w:rPr>
        <w:t xml:space="preserve"> МОГАТ ДА СЕ ИМУНИЗИРАТ </w:t>
      </w:r>
      <w:proofErr w:type="spellStart"/>
      <w:r w:rsidRPr="00240AE0">
        <w:rPr>
          <w:sz w:val="24"/>
          <w:szCs w:val="24"/>
        </w:rPr>
        <w:t>при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условие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че</w:t>
      </w:r>
      <w:proofErr w:type="spellEnd"/>
      <w:r w:rsidRPr="00240AE0">
        <w:rPr>
          <w:sz w:val="24"/>
          <w:szCs w:val="24"/>
        </w:rPr>
        <w:t xml:space="preserve">: </w:t>
      </w:r>
    </w:p>
    <w:p w:rsidR="007027FF" w:rsidRPr="00240AE0" w:rsidRDefault="0089749F" w:rsidP="00240AE0">
      <w:pPr>
        <w:numPr>
          <w:ilvl w:val="0"/>
          <w:numId w:val="1"/>
        </w:numPr>
        <w:spacing w:after="27" w:line="360" w:lineRule="auto"/>
        <w:ind w:right="0" w:hanging="336"/>
        <w:rPr>
          <w:sz w:val="24"/>
          <w:szCs w:val="24"/>
        </w:rPr>
      </w:pPr>
      <w:proofErr w:type="spellStart"/>
      <w:r w:rsidRPr="00240AE0">
        <w:rPr>
          <w:sz w:val="24"/>
          <w:szCs w:val="24"/>
        </w:rPr>
        <w:t>имат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компетентна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система</w:t>
      </w:r>
      <w:proofErr w:type="spellEnd"/>
      <w:r w:rsidRPr="00240AE0">
        <w:rPr>
          <w:sz w:val="24"/>
          <w:szCs w:val="24"/>
        </w:rPr>
        <w:t xml:space="preserve"> с </w:t>
      </w:r>
      <w:proofErr w:type="spellStart"/>
      <w:r w:rsidRPr="00240AE0">
        <w:rPr>
          <w:sz w:val="24"/>
          <w:szCs w:val="24"/>
        </w:rPr>
        <w:t>възможност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иницииране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очакваната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реакция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срещу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ваксиналния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продукт</w:t>
      </w:r>
      <w:proofErr w:type="spellEnd"/>
      <w:r w:rsidRPr="00240AE0">
        <w:rPr>
          <w:sz w:val="24"/>
          <w:szCs w:val="24"/>
        </w:rPr>
        <w:t xml:space="preserve">; </w:t>
      </w:r>
    </w:p>
    <w:p w:rsidR="007027FF" w:rsidRPr="00240AE0" w:rsidRDefault="0089749F" w:rsidP="00240AE0">
      <w:pPr>
        <w:numPr>
          <w:ilvl w:val="0"/>
          <w:numId w:val="1"/>
        </w:numPr>
        <w:spacing w:line="360" w:lineRule="auto"/>
        <w:ind w:right="0" w:hanging="336"/>
        <w:rPr>
          <w:sz w:val="24"/>
          <w:szCs w:val="24"/>
        </w:rPr>
      </w:pPr>
      <w:proofErr w:type="spellStart"/>
      <w:proofErr w:type="gramStart"/>
      <w:r w:rsidRPr="00240AE0">
        <w:rPr>
          <w:sz w:val="24"/>
          <w:szCs w:val="24"/>
        </w:rPr>
        <w:t>са</w:t>
      </w:r>
      <w:proofErr w:type="spellEnd"/>
      <w:proofErr w:type="gramEnd"/>
      <w:r w:rsidRPr="00240AE0">
        <w:rPr>
          <w:sz w:val="24"/>
          <w:szCs w:val="24"/>
        </w:rPr>
        <w:t xml:space="preserve"> в </w:t>
      </w:r>
      <w:proofErr w:type="spellStart"/>
      <w:r w:rsidRPr="00240AE0">
        <w:rPr>
          <w:sz w:val="24"/>
          <w:szCs w:val="24"/>
        </w:rPr>
        <w:t>ремисия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основното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заболяване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без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клинични</w:t>
      </w:r>
      <w:proofErr w:type="spellEnd"/>
      <w:r w:rsidRPr="00240AE0">
        <w:rPr>
          <w:sz w:val="24"/>
          <w:szCs w:val="24"/>
        </w:rPr>
        <w:t xml:space="preserve"> и </w:t>
      </w:r>
      <w:proofErr w:type="spellStart"/>
      <w:r w:rsidRPr="00240AE0">
        <w:rPr>
          <w:sz w:val="24"/>
          <w:szCs w:val="24"/>
        </w:rPr>
        <w:t>лабораторни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данни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обостряне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или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рецидив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процеса</w:t>
      </w:r>
      <w:proofErr w:type="spellEnd"/>
      <w:r w:rsidRPr="00240AE0">
        <w:rPr>
          <w:sz w:val="24"/>
          <w:szCs w:val="24"/>
        </w:rPr>
        <w:t xml:space="preserve">. </w:t>
      </w:r>
    </w:p>
    <w:p w:rsidR="007027FF" w:rsidRPr="00240AE0" w:rsidRDefault="0089749F" w:rsidP="00240AE0">
      <w:pPr>
        <w:spacing w:after="26" w:line="360" w:lineRule="auto"/>
        <w:ind w:left="-14" w:right="0" w:firstLine="0"/>
        <w:rPr>
          <w:sz w:val="24"/>
          <w:szCs w:val="24"/>
        </w:rPr>
      </w:pPr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Тези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лица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биха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могли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ограничават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ваксиниране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въобще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но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включването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във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ваксинационната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програма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може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стане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ако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моментното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състояние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бъде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добре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преценено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от</w:t>
      </w:r>
      <w:proofErr w:type="spellEnd"/>
      <w:r w:rsidRPr="00240AE0">
        <w:rPr>
          <w:sz w:val="24"/>
          <w:szCs w:val="24"/>
        </w:rPr>
        <w:t xml:space="preserve"> ОПЛ </w:t>
      </w:r>
      <w:proofErr w:type="spellStart"/>
      <w:r w:rsidRPr="00240AE0">
        <w:rPr>
          <w:sz w:val="24"/>
          <w:szCs w:val="24"/>
        </w:rPr>
        <w:t>или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лекар-специалист</w:t>
      </w:r>
      <w:proofErr w:type="spellEnd"/>
      <w:r w:rsidRPr="00240AE0">
        <w:rPr>
          <w:sz w:val="24"/>
          <w:szCs w:val="24"/>
        </w:rPr>
        <w:t xml:space="preserve"> и </w:t>
      </w:r>
      <w:proofErr w:type="spellStart"/>
      <w:r w:rsidRPr="00240AE0">
        <w:rPr>
          <w:sz w:val="24"/>
          <w:szCs w:val="24"/>
        </w:rPr>
        <w:t>отношението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полза</w:t>
      </w:r>
      <w:proofErr w:type="spellEnd"/>
      <w:r w:rsidRPr="00240AE0">
        <w:rPr>
          <w:sz w:val="24"/>
          <w:szCs w:val="24"/>
        </w:rPr>
        <w:t>/</w:t>
      </w:r>
      <w:proofErr w:type="spellStart"/>
      <w:r w:rsidRPr="00240AE0">
        <w:rPr>
          <w:sz w:val="24"/>
          <w:szCs w:val="24"/>
        </w:rPr>
        <w:t>риск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превалира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ползата</w:t>
      </w:r>
      <w:proofErr w:type="spellEnd"/>
      <w:r w:rsidRPr="00240AE0">
        <w:rPr>
          <w:sz w:val="24"/>
          <w:szCs w:val="24"/>
        </w:rPr>
        <w:t xml:space="preserve">. </w:t>
      </w:r>
    </w:p>
    <w:p w:rsidR="007027FF" w:rsidRPr="00240AE0" w:rsidRDefault="0089749F" w:rsidP="00240AE0">
      <w:pPr>
        <w:spacing w:line="360" w:lineRule="auto"/>
        <w:ind w:left="-14" w:right="0" w:firstLine="0"/>
        <w:rPr>
          <w:sz w:val="24"/>
          <w:szCs w:val="24"/>
        </w:rPr>
      </w:pPr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имунологична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гледна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точка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ако</w:t>
      </w:r>
      <w:proofErr w:type="spellEnd"/>
      <w:r w:rsidRPr="00240AE0">
        <w:rPr>
          <w:sz w:val="24"/>
          <w:szCs w:val="24"/>
        </w:rPr>
        <w:t xml:space="preserve">  </w:t>
      </w:r>
      <w:proofErr w:type="spellStart"/>
      <w:r w:rsidRPr="00240AE0">
        <w:rPr>
          <w:sz w:val="24"/>
          <w:szCs w:val="24"/>
        </w:rPr>
        <w:t>лицата</w:t>
      </w:r>
      <w:proofErr w:type="spellEnd"/>
      <w:r w:rsidRPr="00240AE0">
        <w:rPr>
          <w:sz w:val="24"/>
          <w:szCs w:val="24"/>
        </w:rPr>
        <w:t xml:space="preserve"> с </w:t>
      </w:r>
      <w:proofErr w:type="spellStart"/>
      <w:r w:rsidRPr="00240AE0">
        <w:rPr>
          <w:sz w:val="24"/>
          <w:szCs w:val="24"/>
        </w:rPr>
        <w:t>автоимунни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онкологични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инфекциозни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заболявания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както</w:t>
      </w:r>
      <w:proofErr w:type="spellEnd"/>
      <w:r w:rsidRPr="00240AE0">
        <w:rPr>
          <w:sz w:val="24"/>
          <w:szCs w:val="24"/>
        </w:rPr>
        <w:t xml:space="preserve"> и </w:t>
      </w:r>
      <w:proofErr w:type="spellStart"/>
      <w:r w:rsidRPr="00240AE0">
        <w:rPr>
          <w:sz w:val="24"/>
          <w:szCs w:val="24"/>
        </w:rPr>
        <w:t>тези</w:t>
      </w:r>
      <w:proofErr w:type="spellEnd"/>
      <w:r w:rsidRPr="00240AE0">
        <w:rPr>
          <w:sz w:val="24"/>
          <w:szCs w:val="24"/>
        </w:rPr>
        <w:t xml:space="preserve"> с </w:t>
      </w:r>
      <w:proofErr w:type="spellStart"/>
      <w:r w:rsidRPr="00240AE0">
        <w:rPr>
          <w:sz w:val="24"/>
          <w:szCs w:val="24"/>
        </w:rPr>
        <w:t>имунни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дефицити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са</w:t>
      </w:r>
      <w:proofErr w:type="spellEnd"/>
      <w:r w:rsidRPr="00240AE0">
        <w:rPr>
          <w:sz w:val="24"/>
          <w:szCs w:val="24"/>
        </w:rPr>
        <w:t xml:space="preserve"> с </w:t>
      </w:r>
      <w:proofErr w:type="spellStart"/>
      <w:r w:rsidRPr="00240AE0">
        <w:rPr>
          <w:sz w:val="24"/>
          <w:szCs w:val="24"/>
        </w:rPr>
        <w:t>компрометирана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система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те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биха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реагирали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адекватно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ваксината</w:t>
      </w:r>
      <w:proofErr w:type="spellEnd"/>
      <w:r w:rsidRPr="00240AE0">
        <w:rPr>
          <w:sz w:val="24"/>
          <w:szCs w:val="24"/>
        </w:rPr>
        <w:t xml:space="preserve"> с </w:t>
      </w:r>
      <w:proofErr w:type="spellStart"/>
      <w:r w:rsidRPr="00240AE0">
        <w:rPr>
          <w:sz w:val="24"/>
          <w:szCs w:val="24"/>
        </w:rPr>
        <w:t>производство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необходимите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антитела</w:t>
      </w:r>
      <w:proofErr w:type="spellEnd"/>
      <w:r w:rsidRPr="00240AE0">
        <w:rPr>
          <w:sz w:val="24"/>
          <w:szCs w:val="24"/>
        </w:rPr>
        <w:t xml:space="preserve"> и </w:t>
      </w:r>
      <w:proofErr w:type="spellStart"/>
      <w:r w:rsidRPr="00240AE0">
        <w:rPr>
          <w:sz w:val="24"/>
          <w:szCs w:val="24"/>
        </w:rPr>
        <w:t>имунни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клетки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поради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наличния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имунологичен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дефект</w:t>
      </w:r>
      <w:proofErr w:type="spellEnd"/>
      <w:r w:rsidRPr="00240AE0">
        <w:rPr>
          <w:sz w:val="24"/>
          <w:szCs w:val="24"/>
        </w:rPr>
        <w:t xml:space="preserve">. </w:t>
      </w:r>
    </w:p>
    <w:p w:rsidR="007027FF" w:rsidRPr="00240AE0" w:rsidRDefault="0089749F" w:rsidP="00240AE0">
      <w:pPr>
        <w:spacing w:after="15" w:line="360" w:lineRule="auto"/>
        <w:ind w:left="0" w:right="0" w:firstLine="0"/>
        <w:jc w:val="left"/>
        <w:rPr>
          <w:sz w:val="24"/>
          <w:szCs w:val="24"/>
        </w:rPr>
      </w:pPr>
      <w:r w:rsidRPr="00240AE0">
        <w:rPr>
          <w:sz w:val="24"/>
          <w:szCs w:val="24"/>
        </w:rPr>
        <w:t xml:space="preserve"> </w:t>
      </w:r>
    </w:p>
    <w:p w:rsidR="007027FF" w:rsidRPr="00240AE0" w:rsidRDefault="0089749F" w:rsidP="00240AE0">
      <w:pPr>
        <w:spacing w:line="360" w:lineRule="auto"/>
        <w:ind w:left="-14" w:right="0" w:firstLine="0"/>
        <w:rPr>
          <w:sz w:val="24"/>
          <w:szCs w:val="24"/>
        </w:rPr>
      </w:pPr>
      <w:r w:rsidRPr="006C6487">
        <w:rPr>
          <w:b/>
          <w:sz w:val="24"/>
          <w:szCs w:val="24"/>
        </w:rPr>
        <w:t>ПРОТИВОПОКАЗАНИЯ И ОГРАНИЧЕНИЯ</w:t>
      </w:r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прилагане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ваксините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имунологична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гледна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точка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явяват</w:t>
      </w:r>
      <w:proofErr w:type="spellEnd"/>
      <w:r w:rsidRPr="00240AE0">
        <w:rPr>
          <w:sz w:val="24"/>
          <w:szCs w:val="24"/>
        </w:rPr>
        <w:t xml:space="preserve">: </w:t>
      </w:r>
    </w:p>
    <w:p w:rsidR="007027FF" w:rsidRPr="00240AE0" w:rsidRDefault="0089749F" w:rsidP="00240AE0">
      <w:pPr>
        <w:spacing w:after="24" w:line="360" w:lineRule="auto"/>
        <w:ind w:left="0" w:right="0" w:firstLine="0"/>
        <w:jc w:val="left"/>
        <w:rPr>
          <w:sz w:val="24"/>
          <w:szCs w:val="24"/>
        </w:rPr>
      </w:pPr>
      <w:r w:rsidRPr="00240AE0">
        <w:rPr>
          <w:sz w:val="24"/>
          <w:szCs w:val="24"/>
        </w:rPr>
        <w:t xml:space="preserve"> </w:t>
      </w:r>
    </w:p>
    <w:p w:rsidR="007027FF" w:rsidRPr="00240AE0" w:rsidRDefault="0089749F" w:rsidP="00240AE0">
      <w:pPr>
        <w:numPr>
          <w:ilvl w:val="0"/>
          <w:numId w:val="2"/>
        </w:numPr>
        <w:spacing w:line="360" w:lineRule="auto"/>
        <w:ind w:right="0" w:hanging="336"/>
        <w:rPr>
          <w:sz w:val="24"/>
          <w:szCs w:val="24"/>
        </w:rPr>
      </w:pPr>
      <w:proofErr w:type="spellStart"/>
      <w:r w:rsidRPr="00240AE0">
        <w:rPr>
          <w:sz w:val="24"/>
          <w:szCs w:val="24"/>
        </w:rPr>
        <w:t>Наличие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текущо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или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скорошно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проведено</w:t>
      </w:r>
      <w:proofErr w:type="spellEnd"/>
      <w:r w:rsidRPr="00240AE0">
        <w:rPr>
          <w:sz w:val="24"/>
          <w:szCs w:val="24"/>
        </w:rPr>
        <w:t xml:space="preserve"> (</w:t>
      </w:r>
      <w:proofErr w:type="spellStart"/>
      <w:r w:rsidRPr="00240AE0">
        <w:rPr>
          <w:sz w:val="24"/>
          <w:szCs w:val="24"/>
        </w:rPr>
        <w:t>до</w:t>
      </w:r>
      <w:proofErr w:type="spellEnd"/>
      <w:r w:rsidRPr="00240AE0">
        <w:rPr>
          <w:sz w:val="24"/>
          <w:szCs w:val="24"/>
        </w:rPr>
        <w:t xml:space="preserve"> 30 </w:t>
      </w:r>
      <w:proofErr w:type="spellStart"/>
      <w:r w:rsidRPr="00240AE0">
        <w:rPr>
          <w:sz w:val="24"/>
          <w:szCs w:val="24"/>
        </w:rPr>
        <w:t>дни</w:t>
      </w:r>
      <w:proofErr w:type="spellEnd"/>
      <w:r w:rsidRPr="00240AE0">
        <w:rPr>
          <w:sz w:val="24"/>
          <w:szCs w:val="24"/>
        </w:rPr>
        <w:t xml:space="preserve">)  </w:t>
      </w:r>
      <w:proofErr w:type="spellStart"/>
      <w:r w:rsidRPr="00240AE0">
        <w:rPr>
          <w:sz w:val="24"/>
          <w:szCs w:val="24"/>
        </w:rPr>
        <w:t>имуносупресивно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лечение</w:t>
      </w:r>
      <w:proofErr w:type="spellEnd"/>
      <w:r w:rsidRPr="00240AE0">
        <w:rPr>
          <w:sz w:val="24"/>
          <w:szCs w:val="24"/>
        </w:rPr>
        <w:t xml:space="preserve"> (</w:t>
      </w:r>
      <w:proofErr w:type="spellStart"/>
      <w:r w:rsidRPr="00240AE0">
        <w:rPr>
          <w:sz w:val="24"/>
          <w:szCs w:val="24"/>
        </w:rPr>
        <w:t>химиотерапия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лъчетерапия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или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друг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вид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имуносупресивна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терапия</w:t>
      </w:r>
      <w:proofErr w:type="spellEnd"/>
      <w:r w:rsidRPr="00240AE0">
        <w:rPr>
          <w:sz w:val="24"/>
          <w:szCs w:val="24"/>
        </w:rPr>
        <w:t xml:space="preserve">) </w:t>
      </w:r>
      <w:proofErr w:type="spellStart"/>
      <w:r w:rsidRPr="00240AE0">
        <w:rPr>
          <w:sz w:val="24"/>
          <w:szCs w:val="24"/>
        </w:rPr>
        <w:t>при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лица</w:t>
      </w:r>
      <w:proofErr w:type="spellEnd"/>
      <w:r w:rsidRPr="00240AE0">
        <w:rPr>
          <w:sz w:val="24"/>
          <w:szCs w:val="24"/>
        </w:rPr>
        <w:t xml:space="preserve"> с </w:t>
      </w:r>
      <w:proofErr w:type="spellStart"/>
      <w:r w:rsidRPr="00240AE0">
        <w:rPr>
          <w:sz w:val="24"/>
          <w:szCs w:val="24"/>
        </w:rPr>
        <w:t>автоимунни</w:t>
      </w:r>
      <w:proofErr w:type="spellEnd"/>
      <w:r w:rsidRPr="00240AE0">
        <w:rPr>
          <w:sz w:val="24"/>
          <w:szCs w:val="24"/>
        </w:rPr>
        <w:t xml:space="preserve"> и </w:t>
      </w:r>
      <w:proofErr w:type="spellStart"/>
      <w:r w:rsidRPr="00240AE0">
        <w:rPr>
          <w:sz w:val="24"/>
          <w:szCs w:val="24"/>
        </w:rPr>
        <w:t>онкологични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заболявания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което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потиска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имунната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реактивност</w:t>
      </w:r>
      <w:proofErr w:type="spellEnd"/>
      <w:r w:rsidRPr="00240AE0">
        <w:rPr>
          <w:sz w:val="24"/>
          <w:szCs w:val="24"/>
        </w:rPr>
        <w:t xml:space="preserve"> и </w:t>
      </w:r>
      <w:proofErr w:type="spellStart"/>
      <w:r w:rsidRPr="00240AE0">
        <w:rPr>
          <w:sz w:val="24"/>
          <w:szCs w:val="24"/>
        </w:rPr>
        <w:t>потенциално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води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неадекватен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постваксинален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имунен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отговор</w:t>
      </w:r>
      <w:proofErr w:type="spellEnd"/>
      <w:r w:rsidRPr="00240AE0">
        <w:rPr>
          <w:sz w:val="24"/>
          <w:szCs w:val="24"/>
        </w:rPr>
        <w:t xml:space="preserve"> с </w:t>
      </w:r>
      <w:proofErr w:type="spellStart"/>
      <w:r w:rsidRPr="00240AE0">
        <w:rPr>
          <w:sz w:val="24"/>
          <w:szCs w:val="24"/>
        </w:rPr>
        <w:t>невъзможност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образуване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специфични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имунни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молекули</w:t>
      </w:r>
      <w:proofErr w:type="spellEnd"/>
      <w:r w:rsidRPr="00240AE0">
        <w:rPr>
          <w:sz w:val="24"/>
          <w:szCs w:val="24"/>
        </w:rPr>
        <w:t xml:space="preserve"> и </w:t>
      </w:r>
      <w:proofErr w:type="spellStart"/>
      <w:r w:rsidRPr="00240AE0">
        <w:rPr>
          <w:sz w:val="24"/>
          <w:szCs w:val="24"/>
        </w:rPr>
        <w:t>клетки</w:t>
      </w:r>
      <w:proofErr w:type="spellEnd"/>
      <w:r w:rsidRPr="00240AE0">
        <w:rPr>
          <w:sz w:val="24"/>
          <w:szCs w:val="24"/>
        </w:rPr>
        <w:t xml:space="preserve">.  </w:t>
      </w:r>
      <w:proofErr w:type="spellStart"/>
      <w:r w:rsidRPr="00240AE0">
        <w:rPr>
          <w:sz w:val="24"/>
          <w:szCs w:val="24"/>
        </w:rPr>
        <w:t>Препоръчително</w:t>
      </w:r>
      <w:proofErr w:type="spellEnd"/>
      <w:r w:rsidRPr="00240AE0">
        <w:rPr>
          <w:sz w:val="24"/>
          <w:szCs w:val="24"/>
        </w:rPr>
        <w:t xml:space="preserve"> е в </w:t>
      </w:r>
      <w:proofErr w:type="spellStart"/>
      <w:r w:rsidRPr="00240AE0">
        <w:rPr>
          <w:sz w:val="24"/>
          <w:szCs w:val="24"/>
        </w:rPr>
        <w:t>такива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случаи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оценка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имунната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реактивност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изследват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маркери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хуморален</w:t>
      </w:r>
      <w:proofErr w:type="spellEnd"/>
      <w:r w:rsidRPr="00240AE0">
        <w:rPr>
          <w:sz w:val="24"/>
          <w:szCs w:val="24"/>
        </w:rPr>
        <w:t xml:space="preserve"> и </w:t>
      </w:r>
      <w:proofErr w:type="spellStart"/>
      <w:r w:rsidRPr="00240AE0">
        <w:rPr>
          <w:sz w:val="24"/>
          <w:szCs w:val="24"/>
        </w:rPr>
        <w:t>клетъчен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имунитет</w:t>
      </w:r>
      <w:proofErr w:type="spellEnd"/>
      <w:r w:rsidRPr="00240AE0">
        <w:rPr>
          <w:sz w:val="24"/>
          <w:szCs w:val="24"/>
        </w:rPr>
        <w:t xml:space="preserve"> в </w:t>
      </w:r>
      <w:proofErr w:type="spellStart"/>
      <w:r w:rsidRPr="00240AE0">
        <w:rPr>
          <w:sz w:val="24"/>
          <w:szCs w:val="24"/>
        </w:rPr>
        <w:t>специализирана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имунологична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лаборатория</w:t>
      </w:r>
      <w:proofErr w:type="spellEnd"/>
      <w:r w:rsidRPr="00240AE0">
        <w:rPr>
          <w:sz w:val="24"/>
          <w:szCs w:val="24"/>
        </w:rPr>
        <w:t>.</w:t>
      </w:r>
      <w:r w:rsidRPr="00240AE0">
        <w:rPr>
          <w:color w:val="5E5E5E"/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Ваксините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автоимунни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заболявания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трябва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прилагат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преди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планираната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имуносупресия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по</w:t>
      </w:r>
      <w:proofErr w:type="spellEnd"/>
      <w:r w:rsidR="009F615E">
        <w:rPr>
          <w:sz w:val="24"/>
          <w:szCs w:val="24"/>
          <w:lang w:val="bg-BG"/>
        </w:rPr>
        <w:t xml:space="preserve"> </w:t>
      </w:r>
      <w:proofErr w:type="spellStart"/>
      <w:r w:rsidRPr="00240AE0">
        <w:rPr>
          <w:sz w:val="24"/>
          <w:szCs w:val="24"/>
        </w:rPr>
        <w:t>специално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терапия</w:t>
      </w:r>
      <w:proofErr w:type="spellEnd"/>
      <w:r w:rsidRPr="00240AE0">
        <w:rPr>
          <w:sz w:val="24"/>
          <w:szCs w:val="24"/>
        </w:rPr>
        <w:t xml:space="preserve"> с </w:t>
      </w:r>
      <w:proofErr w:type="spellStart"/>
      <w:r w:rsidRPr="00240AE0">
        <w:rPr>
          <w:sz w:val="24"/>
          <w:szCs w:val="24"/>
        </w:rPr>
        <w:t>намаляване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В-</w:t>
      </w:r>
      <w:proofErr w:type="spellStart"/>
      <w:r w:rsidRPr="00240AE0">
        <w:rPr>
          <w:sz w:val="24"/>
          <w:szCs w:val="24"/>
        </w:rPr>
        <w:t>клетките</w:t>
      </w:r>
      <w:proofErr w:type="spellEnd"/>
      <w:r w:rsidRPr="00240AE0">
        <w:rPr>
          <w:sz w:val="24"/>
          <w:szCs w:val="24"/>
        </w:rPr>
        <w:t xml:space="preserve">. </w:t>
      </w:r>
    </w:p>
    <w:p w:rsidR="007027FF" w:rsidRPr="00240AE0" w:rsidRDefault="0089749F" w:rsidP="00240AE0">
      <w:pPr>
        <w:numPr>
          <w:ilvl w:val="0"/>
          <w:numId w:val="2"/>
        </w:numPr>
        <w:spacing w:line="360" w:lineRule="auto"/>
        <w:ind w:right="0" w:hanging="336"/>
        <w:rPr>
          <w:sz w:val="24"/>
          <w:szCs w:val="24"/>
        </w:rPr>
      </w:pPr>
      <w:proofErr w:type="spellStart"/>
      <w:r w:rsidRPr="00240AE0">
        <w:rPr>
          <w:sz w:val="24"/>
          <w:szCs w:val="24"/>
        </w:rPr>
        <w:lastRenderedPageBreak/>
        <w:t>Наличие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текуща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остра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тежка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инфекция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вкл</w:t>
      </w:r>
      <w:proofErr w:type="spellEnd"/>
      <w:r w:rsidRPr="00240AE0">
        <w:rPr>
          <w:sz w:val="24"/>
          <w:szCs w:val="24"/>
        </w:rPr>
        <w:t xml:space="preserve">. COVID-19, и </w:t>
      </w:r>
      <w:proofErr w:type="spellStart"/>
      <w:r w:rsidRPr="00240AE0">
        <w:rPr>
          <w:sz w:val="24"/>
          <w:szCs w:val="24"/>
        </w:rPr>
        <w:t>тежко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остро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фебрилно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състояние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всички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описани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групи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които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могат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усложнят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вследствие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пренастройката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имунната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система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след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ваксиниране</w:t>
      </w:r>
      <w:proofErr w:type="spellEnd"/>
      <w:r w:rsidRPr="00240AE0">
        <w:rPr>
          <w:sz w:val="24"/>
          <w:szCs w:val="24"/>
        </w:rPr>
        <w:t>.</w:t>
      </w:r>
      <w:r w:rsidRPr="00240AE0">
        <w:rPr>
          <w:color w:val="5E5E5E"/>
          <w:sz w:val="24"/>
          <w:szCs w:val="24"/>
        </w:rPr>
        <w:t xml:space="preserve"> </w:t>
      </w:r>
    </w:p>
    <w:p w:rsidR="007027FF" w:rsidRPr="00240AE0" w:rsidRDefault="0089749F" w:rsidP="00240AE0">
      <w:pPr>
        <w:numPr>
          <w:ilvl w:val="0"/>
          <w:numId w:val="2"/>
        </w:numPr>
        <w:spacing w:line="360" w:lineRule="auto"/>
        <w:ind w:right="0" w:hanging="336"/>
        <w:rPr>
          <w:sz w:val="24"/>
          <w:szCs w:val="24"/>
        </w:rPr>
      </w:pPr>
      <w:proofErr w:type="spellStart"/>
      <w:r w:rsidRPr="00240AE0">
        <w:rPr>
          <w:sz w:val="24"/>
          <w:szCs w:val="24"/>
        </w:rPr>
        <w:t>При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пациенти</w:t>
      </w:r>
      <w:proofErr w:type="spellEnd"/>
      <w:r w:rsidRPr="00240AE0">
        <w:rPr>
          <w:sz w:val="24"/>
          <w:szCs w:val="24"/>
        </w:rPr>
        <w:t xml:space="preserve"> с </w:t>
      </w:r>
      <w:proofErr w:type="spellStart"/>
      <w:r w:rsidRPr="00240AE0">
        <w:rPr>
          <w:sz w:val="24"/>
          <w:szCs w:val="24"/>
        </w:rPr>
        <w:t>вроден</w:t>
      </w:r>
      <w:proofErr w:type="spellEnd"/>
      <w:r w:rsidRPr="00240AE0">
        <w:rPr>
          <w:sz w:val="24"/>
          <w:szCs w:val="24"/>
        </w:rPr>
        <w:t xml:space="preserve"> (</w:t>
      </w:r>
      <w:proofErr w:type="spellStart"/>
      <w:r w:rsidRPr="00240AE0">
        <w:rPr>
          <w:sz w:val="24"/>
          <w:szCs w:val="24"/>
        </w:rPr>
        <w:t>първичен</w:t>
      </w:r>
      <w:proofErr w:type="spellEnd"/>
      <w:r w:rsidRPr="00240AE0">
        <w:rPr>
          <w:sz w:val="24"/>
          <w:szCs w:val="24"/>
        </w:rPr>
        <w:t xml:space="preserve">) </w:t>
      </w:r>
      <w:proofErr w:type="spellStart"/>
      <w:r w:rsidRPr="00240AE0">
        <w:rPr>
          <w:sz w:val="24"/>
          <w:szCs w:val="24"/>
        </w:rPr>
        <w:t>или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вторичен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имунен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дефицит</w:t>
      </w:r>
      <w:proofErr w:type="spellEnd"/>
      <w:r w:rsidRPr="00240AE0">
        <w:rPr>
          <w:sz w:val="24"/>
          <w:szCs w:val="24"/>
        </w:rPr>
        <w:t xml:space="preserve"> (</w:t>
      </w:r>
      <w:proofErr w:type="spellStart"/>
      <w:r w:rsidRPr="00240AE0">
        <w:rPr>
          <w:sz w:val="24"/>
          <w:szCs w:val="24"/>
        </w:rPr>
        <w:t>напр</w:t>
      </w:r>
      <w:proofErr w:type="spellEnd"/>
      <w:r w:rsidRPr="00240AE0">
        <w:rPr>
          <w:sz w:val="24"/>
          <w:szCs w:val="24"/>
        </w:rPr>
        <w:t xml:space="preserve">. с HIV/AIDS, </w:t>
      </w:r>
      <w:proofErr w:type="spellStart"/>
      <w:r w:rsidRPr="00240AE0">
        <w:rPr>
          <w:sz w:val="24"/>
          <w:szCs w:val="24"/>
        </w:rPr>
        <w:t>напреднал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диабет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или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друго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прогресиращо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автоимунно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заболяване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дори</w:t>
      </w:r>
      <w:proofErr w:type="spellEnd"/>
      <w:r w:rsidRPr="00240AE0">
        <w:rPr>
          <w:sz w:val="24"/>
          <w:szCs w:val="24"/>
        </w:rPr>
        <w:t xml:space="preserve"> и </w:t>
      </w:r>
      <w:proofErr w:type="spellStart"/>
      <w:r w:rsidRPr="00240AE0">
        <w:rPr>
          <w:sz w:val="24"/>
          <w:szCs w:val="24"/>
        </w:rPr>
        <w:t>без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имуносупресивна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терапия</w:t>
      </w:r>
      <w:proofErr w:type="spellEnd"/>
      <w:r w:rsidRPr="00240AE0">
        <w:rPr>
          <w:sz w:val="24"/>
          <w:szCs w:val="24"/>
        </w:rPr>
        <w:t xml:space="preserve">), </w:t>
      </w:r>
      <w:proofErr w:type="spellStart"/>
      <w:r w:rsidRPr="00240AE0">
        <w:rPr>
          <w:sz w:val="24"/>
          <w:szCs w:val="24"/>
        </w:rPr>
        <w:t>при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които</w:t>
      </w:r>
      <w:proofErr w:type="spellEnd"/>
      <w:r w:rsidRPr="00240AE0">
        <w:rPr>
          <w:sz w:val="24"/>
          <w:szCs w:val="24"/>
        </w:rPr>
        <w:t xml:space="preserve"> е </w:t>
      </w:r>
      <w:proofErr w:type="spellStart"/>
      <w:r w:rsidRPr="00240AE0">
        <w:rPr>
          <w:sz w:val="24"/>
          <w:szCs w:val="24"/>
        </w:rPr>
        <w:t>доказано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намаление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имунната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реактивност</w:t>
      </w:r>
      <w:proofErr w:type="spellEnd"/>
      <w:r w:rsidRPr="00240AE0">
        <w:rPr>
          <w:sz w:val="24"/>
          <w:szCs w:val="24"/>
        </w:rPr>
        <w:t xml:space="preserve">. </w:t>
      </w:r>
      <w:proofErr w:type="spellStart"/>
      <w:r w:rsidRPr="00240AE0">
        <w:rPr>
          <w:sz w:val="24"/>
          <w:szCs w:val="24"/>
        </w:rPr>
        <w:t>Считаме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това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ограничение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прилагане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ваксините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за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които</w:t>
      </w:r>
      <w:proofErr w:type="spellEnd"/>
      <w:r w:rsidRPr="00240AE0">
        <w:rPr>
          <w:sz w:val="24"/>
          <w:szCs w:val="24"/>
        </w:rPr>
        <w:t xml:space="preserve"> в </w:t>
      </w:r>
      <w:proofErr w:type="spellStart"/>
      <w:r w:rsidRPr="00240AE0">
        <w:rPr>
          <w:sz w:val="24"/>
          <w:szCs w:val="24"/>
        </w:rPr>
        <w:t>продуктовата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им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характеристика</w:t>
      </w:r>
      <w:proofErr w:type="spellEnd"/>
      <w:r w:rsidRPr="00240AE0">
        <w:rPr>
          <w:sz w:val="24"/>
          <w:szCs w:val="24"/>
        </w:rPr>
        <w:t xml:space="preserve"> е </w:t>
      </w:r>
      <w:proofErr w:type="spellStart"/>
      <w:r w:rsidRPr="00240AE0">
        <w:rPr>
          <w:sz w:val="24"/>
          <w:szCs w:val="24"/>
        </w:rPr>
        <w:t>уточнено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че</w:t>
      </w:r>
      <w:proofErr w:type="spellEnd"/>
      <w:r w:rsidRPr="00240AE0">
        <w:rPr>
          <w:sz w:val="24"/>
          <w:szCs w:val="24"/>
        </w:rPr>
        <w:t xml:space="preserve"> „</w:t>
      </w:r>
      <w:proofErr w:type="spellStart"/>
      <w:r w:rsidRPr="00240AE0">
        <w:rPr>
          <w:sz w:val="24"/>
          <w:szCs w:val="24"/>
        </w:rPr>
        <w:t>продължителността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осигурената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ваксината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защита</w:t>
      </w:r>
      <w:proofErr w:type="spellEnd"/>
      <w:r w:rsidRPr="00240AE0">
        <w:rPr>
          <w:sz w:val="24"/>
          <w:szCs w:val="24"/>
        </w:rPr>
        <w:t xml:space="preserve"> е </w:t>
      </w:r>
      <w:proofErr w:type="spellStart"/>
      <w:r w:rsidRPr="00240AE0">
        <w:rPr>
          <w:sz w:val="24"/>
          <w:szCs w:val="24"/>
        </w:rPr>
        <w:t>неизвестна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тъй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като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тя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установява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във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все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още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продължаващи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клинични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изпитвания</w:t>
      </w:r>
      <w:proofErr w:type="spellEnd"/>
      <w:r w:rsidRPr="00240AE0">
        <w:rPr>
          <w:sz w:val="24"/>
          <w:szCs w:val="24"/>
        </w:rPr>
        <w:t xml:space="preserve">“ </w:t>
      </w:r>
      <w:r w:rsidRPr="00240AE0">
        <w:rPr>
          <w:color w:val="5E5E5E"/>
          <w:sz w:val="24"/>
          <w:szCs w:val="24"/>
        </w:rPr>
        <w:t xml:space="preserve"> </w:t>
      </w:r>
    </w:p>
    <w:p w:rsidR="007027FF" w:rsidRPr="00240AE0" w:rsidRDefault="0089749F" w:rsidP="00240AE0">
      <w:pPr>
        <w:numPr>
          <w:ilvl w:val="0"/>
          <w:numId w:val="2"/>
        </w:numPr>
        <w:spacing w:line="360" w:lineRule="auto"/>
        <w:ind w:right="0" w:hanging="336"/>
        <w:rPr>
          <w:sz w:val="24"/>
          <w:szCs w:val="24"/>
        </w:rPr>
      </w:pPr>
      <w:proofErr w:type="spellStart"/>
      <w:r w:rsidRPr="00240AE0">
        <w:rPr>
          <w:sz w:val="24"/>
          <w:szCs w:val="24"/>
        </w:rPr>
        <w:t>При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пациенти</w:t>
      </w:r>
      <w:proofErr w:type="spellEnd"/>
      <w:r w:rsidRPr="00240AE0">
        <w:rPr>
          <w:sz w:val="24"/>
          <w:szCs w:val="24"/>
        </w:rPr>
        <w:t xml:space="preserve"> с </w:t>
      </w:r>
      <w:proofErr w:type="spellStart"/>
      <w:r w:rsidRPr="00240AE0">
        <w:rPr>
          <w:sz w:val="24"/>
          <w:szCs w:val="24"/>
        </w:rPr>
        <w:t>анамнестични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данни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анафилактична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реакция</w:t>
      </w:r>
      <w:proofErr w:type="spellEnd"/>
      <w:r w:rsidRPr="00240AE0">
        <w:rPr>
          <w:sz w:val="24"/>
          <w:szCs w:val="24"/>
        </w:rPr>
        <w:t xml:space="preserve"> и </w:t>
      </w:r>
      <w:proofErr w:type="spellStart"/>
      <w:r w:rsidRPr="00240AE0">
        <w:rPr>
          <w:sz w:val="24"/>
          <w:szCs w:val="24"/>
        </w:rPr>
        <w:t>известна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алергия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към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някои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съставките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ваксината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Pfize</w:t>
      </w:r>
      <w:r w:rsidR="009F615E">
        <w:rPr>
          <w:sz w:val="24"/>
          <w:szCs w:val="24"/>
        </w:rPr>
        <w:t>r-</w:t>
      </w:r>
      <w:proofErr w:type="spellStart"/>
      <w:r w:rsidR="009F615E">
        <w:rPr>
          <w:sz w:val="24"/>
          <w:szCs w:val="24"/>
        </w:rPr>
        <w:t>BioNTech</w:t>
      </w:r>
      <w:proofErr w:type="spellEnd"/>
      <w:r w:rsidR="009F615E">
        <w:rPr>
          <w:sz w:val="24"/>
          <w:szCs w:val="24"/>
        </w:rPr>
        <w:t xml:space="preserve"> и AstraZeneca</w:t>
      </w:r>
      <w:r w:rsidRPr="00240AE0">
        <w:rPr>
          <w:sz w:val="24"/>
          <w:szCs w:val="24"/>
        </w:rPr>
        <w:t xml:space="preserve">. </w:t>
      </w:r>
      <w:proofErr w:type="spellStart"/>
      <w:r w:rsidRPr="00240AE0">
        <w:rPr>
          <w:sz w:val="24"/>
          <w:szCs w:val="24"/>
        </w:rPr>
        <w:t>Считаме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тази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рестрикция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относима</w:t>
      </w:r>
      <w:proofErr w:type="spellEnd"/>
      <w:r w:rsidRPr="00240AE0">
        <w:rPr>
          <w:sz w:val="24"/>
          <w:szCs w:val="24"/>
        </w:rPr>
        <w:t xml:space="preserve"> и </w:t>
      </w:r>
      <w:proofErr w:type="spellStart"/>
      <w:r w:rsidRPr="00240AE0">
        <w:rPr>
          <w:sz w:val="24"/>
          <w:szCs w:val="24"/>
        </w:rPr>
        <w:t>при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прилагане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другите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ваксини</w:t>
      </w:r>
      <w:proofErr w:type="spellEnd"/>
      <w:r w:rsidRPr="00240AE0">
        <w:rPr>
          <w:sz w:val="24"/>
          <w:szCs w:val="24"/>
        </w:rPr>
        <w:t>.</w:t>
      </w:r>
      <w:r w:rsidRPr="00240AE0">
        <w:rPr>
          <w:color w:val="5E5E5E"/>
          <w:sz w:val="24"/>
          <w:szCs w:val="24"/>
        </w:rPr>
        <w:t xml:space="preserve"> </w:t>
      </w:r>
    </w:p>
    <w:p w:rsidR="007027FF" w:rsidRPr="00240AE0" w:rsidRDefault="0089749F" w:rsidP="00240AE0">
      <w:pPr>
        <w:spacing w:after="15" w:line="360" w:lineRule="auto"/>
        <w:ind w:left="0" w:right="0" w:firstLine="0"/>
        <w:jc w:val="left"/>
        <w:rPr>
          <w:sz w:val="24"/>
          <w:szCs w:val="24"/>
        </w:rPr>
      </w:pPr>
      <w:r w:rsidRPr="00240AE0">
        <w:rPr>
          <w:sz w:val="24"/>
          <w:szCs w:val="24"/>
        </w:rPr>
        <w:t xml:space="preserve"> </w:t>
      </w:r>
    </w:p>
    <w:p w:rsidR="007027FF" w:rsidRPr="00240AE0" w:rsidRDefault="0089749F" w:rsidP="009F615E">
      <w:pPr>
        <w:spacing w:line="360" w:lineRule="auto"/>
        <w:ind w:left="-14" w:right="0" w:firstLine="355"/>
        <w:rPr>
          <w:sz w:val="24"/>
          <w:szCs w:val="24"/>
        </w:rPr>
      </w:pPr>
      <w:r w:rsidRPr="00240AE0">
        <w:rPr>
          <w:sz w:val="24"/>
          <w:szCs w:val="24"/>
        </w:rPr>
        <w:t xml:space="preserve">В </w:t>
      </w:r>
      <w:r w:rsidR="006C6487">
        <w:rPr>
          <w:sz w:val="24"/>
          <w:szCs w:val="24"/>
          <w:lang w:val="bg-BG"/>
        </w:rPr>
        <w:t>заключение,</w:t>
      </w:r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предвид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необходимостта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масова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ваксинопрофилактика</w:t>
      </w:r>
      <w:proofErr w:type="spellEnd"/>
      <w:r w:rsidRPr="00240AE0">
        <w:rPr>
          <w:sz w:val="24"/>
          <w:szCs w:val="24"/>
        </w:rPr>
        <w:t xml:space="preserve"> в </w:t>
      </w:r>
      <w:proofErr w:type="spellStart"/>
      <w:r w:rsidRPr="00240AE0">
        <w:rPr>
          <w:sz w:val="24"/>
          <w:szCs w:val="24"/>
        </w:rPr>
        <w:t>условия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пандемия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от</w:t>
      </w:r>
      <w:proofErr w:type="spellEnd"/>
      <w:r w:rsidRPr="00240AE0">
        <w:rPr>
          <w:sz w:val="24"/>
          <w:szCs w:val="24"/>
        </w:rPr>
        <w:t xml:space="preserve"> COVID-19 </w:t>
      </w:r>
      <w:proofErr w:type="spellStart"/>
      <w:r w:rsidRPr="00240AE0">
        <w:rPr>
          <w:sz w:val="24"/>
          <w:szCs w:val="24"/>
        </w:rPr>
        <w:t>като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главна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противоепидемична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мярка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ограничаване</w:t>
      </w:r>
      <w:proofErr w:type="spellEnd"/>
      <w:r w:rsidRPr="00240AE0">
        <w:rPr>
          <w:sz w:val="24"/>
          <w:szCs w:val="24"/>
        </w:rPr>
        <w:t xml:space="preserve"> и </w:t>
      </w:r>
      <w:proofErr w:type="spellStart"/>
      <w:r w:rsidRPr="00240AE0">
        <w:rPr>
          <w:sz w:val="24"/>
          <w:szCs w:val="24"/>
        </w:rPr>
        <w:t>намаляване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разпространението</w:t>
      </w:r>
      <w:proofErr w:type="spellEnd"/>
      <w:r w:rsidRPr="00240AE0">
        <w:rPr>
          <w:sz w:val="24"/>
          <w:szCs w:val="24"/>
        </w:rPr>
        <w:t xml:space="preserve"> </w:t>
      </w:r>
      <w:r w:rsidR="009F615E">
        <w:rPr>
          <w:sz w:val="24"/>
          <w:szCs w:val="24"/>
          <w:lang w:val="bg-BG"/>
        </w:rPr>
        <w:t xml:space="preserve">на </w:t>
      </w:r>
      <w:proofErr w:type="spellStart"/>
      <w:r w:rsidRPr="00240AE0">
        <w:rPr>
          <w:sz w:val="24"/>
          <w:szCs w:val="24"/>
        </w:rPr>
        <w:t>заболяването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всеки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случай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автоимунно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онкологично</w:t>
      </w:r>
      <w:proofErr w:type="spellEnd"/>
      <w:r w:rsidRPr="00240AE0">
        <w:rPr>
          <w:sz w:val="24"/>
          <w:szCs w:val="24"/>
        </w:rPr>
        <w:t xml:space="preserve">, </w:t>
      </w:r>
      <w:proofErr w:type="spellStart"/>
      <w:r w:rsidRPr="00240AE0">
        <w:rPr>
          <w:sz w:val="24"/>
          <w:szCs w:val="24"/>
        </w:rPr>
        <w:t>имунодефицитно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състояние</w:t>
      </w:r>
      <w:proofErr w:type="spellEnd"/>
      <w:r w:rsidRPr="00240AE0">
        <w:rPr>
          <w:sz w:val="24"/>
          <w:szCs w:val="24"/>
        </w:rPr>
        <w:t xml:space="preserve">, </w:t>
      </w:r>
      <w:r w:rsidR="009F615E">
        <w:rPr>
          <w:sz w:val="24"/>
          <w:szCs w:val="24"/>
          <w:lang w:val="bg-BG"/>
        </w:rPr>
        <w:t xml:space="preserve">следва </w:t>
      </w:r>
      <w:proofErr w:type="spellStart"/>
      <w:r w:rsidRPr="00240AE0">
        <w:rPr>
          <w:sz w:val="24"/>
          <w:szCs w:val="24"/>
        </w:rPr>
        <w:t>да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преценява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индивидуално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за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всеки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пациент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от</w:t>
      </w:r>
      <w:proofErr w:type="spellEnd"/>
      <w:r w:rsidRPr="00240AE0">
        <w:rPr>
          <w:sz w:val="24"/>
          <w:szCs w:val="24"/>
        </w:rPr>
        <w:t xml:space="preserve"> ОПЛ </w:t>
      </w:r>
      <w:proofErr w:type="spellStart"/>
      <w:r w:rsidRPr="00240AE0">
        <w:rPr>
          <w:sz w:val="24"/>
          <w:szCs w:val="24"/>
        </w:rPr>
        <w:t>или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специалист</w:t>
      </w:r>
      <w:proofErr w:type="spellEnd"/>
      <w:r>
        <w:rPr>
          <w:sz w:val="24"/>
          <w:szCs w:val="24"/>
          <w:lang w:val="bg-BG"/>
        </w:rPr>
        <w:t>,</w:t>
      </w:r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съобразно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горепосочените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препоръки</w:t>
      </w:r>
      <w:proofErr w:type="spellEnd"/>
      <w:r w:rsidRPr="00240AE0">
        <w:rPr>
          <w:sz w:val="24"/>
          <w:szCs w:val="24"/>
        </w:rPr>
        <w:t xml:space="preserve">.   </w:t>
      </w:r>
    </w:p>
    <w:p w:rsidR="009F615E" w:rsidRDefault="009F615E" w:rsidP="00240AE0">
      <w:pPr>
        <w:spacing w:after="26" w:line="360" w:lineRule="auto"/>
        <w:ind w:left="-14" w:right="0" w:firstLine="0"/>
        <w:rPr>
          <w:sz w:val="24"/>
          <w:szCs w:val="24"/>
        </w:rPr>
      </w:pPr>
    </w:p>
    <w:p w:rsidR="007027FF" w:rsidRPr="00240AE0" w:rsidRDefault="0089749F" w:rsidP="00240AE0">
      <w:pPr>
        <w:spacing w:after="26" w:line="360" w:lineRule="auto"/>
        <w:ind w:left="-14" w:right="0" w:firstLine="0"/>
        <w:rPr>
          <w:sz w:val="24"/>
          <w:szCs w:val="24"/>
        </w:rPr>
      </w:pPr>
      <w:proofErr w:type="spellStart"/>
      <w:r w:rsidRPr="00240AE0">
        <w:rPr>
          <w:sz w:val="24"/>
          <w:szCs w:val="24"/>
        </w:rPr>
        <w:t>Използвана</w:t>
      </w:r>
      <w:proofErr w:type="spellEnd"/>
      <w:r w:rsidRPr="00240AE0">
        <w:rPr>
          <w:sz w:val="24"/>
          <w:szCs w:val="24"/>
        </w:rPr>
        <w:t xml:space="preserve"> </w:t>
      </w:r>
      <w:proofErr w:type="spellStart"/>
      <w:r w:rsidRPr="00240AE0">
        <w:rPr>
          <w:sz w:val="24"/>
          <w:szCs w:val="24"/>
        </w:rPr>
        <w:t>литература</w:t>
      </w:r>
      <w:proofErr w:type="spellEnd"/>
      <w:r w:rsidRPr="00240AE0">
        <w:rPr>
          <w:sz w:val="24"/>
          <w:szCs w:val="24"/>
        </w:rPr>
        <w:t xml:space="preserve">: </w:t>
      </w:r>
    </w:p>
    <w:p w:rsidR="007027FF" w:rsidRPr="00240AE0" w:rsidRDefault="0089749F" w:rsidP="00240AE0">
      <w:pPr>
        <w:spacing w:line="360" w:lineRule="auto"/>
        <w:ind w:left="0" w:right="0" w:firstLine="0"/>
        <w:jc w:val="left"/>
        <w:rPr>
          <w:sz w:val="24"/>
          <w:szCs w:val="24"/>
        </w:rPr>
      </w:pPr>
      <w:r w:rsidRPr="00240AE0">
        <w:rPr>
          <w:rFonts w:eastAsia="Arial"/>
          <w:sz w:val="24"/>
          <w:szCs w:val="24"/>
        </w:rPr>
        <w:t xml:space="preserve"> </w:t>
      </w:r>
    </w:p>
    <w:p w:rsidR="007027FF" w:rsidRPr="00240AE0" w:rsidRDefault="0089749F" w:rsidP="00240AE0">
      <w:pPr>
        <w:numPr>
          <w:ilvl w:val="1"/>
          <w:numId w:val="2"/>
        </w:numPr>
        <w:spacing w:line="360" w:lineRule="auto"/>
        <w:ind w:right="0" w:hanging="341"/>
        <w:rPr>
          <w:sz w:val="24"/>
          <w:szCs w:val="24"/>
        </w:rPr>
      </w:pPr>
      <w:r w:rsidRPr="00240AE0">
        <w:rPr>
          <w:sz w:val="24"/>
          <w:szCs w:val="24"/>
        </w:rPr>
        <w:t>F.P. Polack. Safety and Efficacy of the BNT162b2 mRNA Covid-19 Vaccine. NEJM, 2020</w:t>
      </w:r>
      <w:r w:rsidRPr="00240AE0">
        <w:rPr>
          <w:rFonts w:eastAsia="Arial"/>
          <w:color w:val="666666"/>
          <w:sz w:val="24"/>
          <w:szCs w:val="24"/>
        </w:rPr>
        <w:t xml:space="preserve">, </w:t>
      </w:r>
      <w:r w:rsidRPr="00240AE0">
        <w:rPr>
          <w:sz w:val="24"/>
          <w:szCs w:val="24"/>
        </w:rPr>
        <w:t xml:space="preserve">383:2603-2615, DOI: 10.1056/NEJMoa2034577 </w:t>
      </w:r>
    </w:p>
    <w:p w:rsidR="007027FF" w:rsidRPr="00240AE0" w:rsidRDefault="0089749F" w:rsidP="00240AE0">
      <w:pPr>
        <w:numPr>
          <w:ilvl w:val="1"/>
          <w:numId w:val="2"/>
        </w:numPr>
        <w:spacing w:line="360" w:lineRule="auto"/>
        <w:ind w:right="0" w:hanging="341"/>
        <w:rPr>
          <w:sz w:val="24"/>
          <w:szCs w:val="24"/>
        </w:rPr>
      </w:pPr>
      <w:r w:rsidRPr="00240AE0">
        <w:rPr>
          <w:sz w:val="24"/>
          <w:szCs w:val="24"/>
        </w:rPr>
        <w:t xml:space="preserve">L.R. Baden et al. Efficacy and Safety of the mRNA-1273 SARS-CoV-2 Vaccine. NEIJM, 2021, DOI: 10.1056/NEJMoa2035389 </w:t>
      </w:r>
    </w:p>
    <w:p w:rsidR="007027FF" w:rsidRPr="00240AE0" w:rsidRDefault="0089749F" w:rsidP="00240AE0">
      <w:pPr>
        <w:numPr>
          <w:ilvl w:val="1"/>
          <w:numId w:val="2"/>
        </w:numPr>
        <w:spacing w:line="360" w:lineRule="auto"/>
        <w:ind w:right="0" w:hanging="341"/>
        <w:rPr>
          <w:sz w:val="24"/>
          <w:szCs w:val="24"/>
        </w:rPr>
      </w:pPr>
      <w:r w:rsidRPr="00240AE0">
        <w:rPr>
          <w:sz w:val="24"/>
          <w:szCs w:val="24"/>
        </w:rPr>
        <w:t>L.A. Jackson et a</w:t>
      </w:r>
      <w:bookmarkStart w:id="0" w:name="_GoBack"/>
      <w:bookmarkEnd w:id="0"/>
      <w:r w:rsidRPr="00240AE0">
        <w:rPr>
          <w:sz w:val="24"/>
          <w:szCs w:val="24"/>
        </w:rPr>
        <w:t xml:space="preserve">l. An mRNA Vaccine against SARS-CoV-2 </w:t>
      </w:r>
      <w:proofErr w:type="gramStart"/>
      <w:r w:rsidRPr="00240AE0">
        <w:rPr>
          <w:sz w:val="24"/>
          <w:szCs w:val="24"/>
        </w:rPr>
        <w:t>-  Preliminary</w:t>
      </w:r>
      <w:proofErr w:type="gramEnd"/>
      <w:r w:rsidRPr="00240AE0">
        <w:rPr>
          <w:sz w:val="24"/>
          <w:szCs w:val="24"/>
        </w:rPr>
        <w:t xml:space="preserve"> Report. NEJM N </w:t>
      </w:r>
      <w:proofErr w:type="spellStart"/>
      <w:r w:rsidRPr="00240AE0">
        <w:rPr>
          <w:sz w:val="24"/>
          <w:szCs w:val="24"/>
        </w:rPr>
        <w:t>Engl</w:t>
      </w:r>
      <w:proofErr w:type="spellEnd"/>
      <w:r w:rsidRPr="00240AE0">
        <w:rPr>
          <w:sz w:val="24"/>
          <w:szCs w:val="24"/>
        </w:rPr>
        <w:t xml:space="preserve"> J Med 2020; 383:1920-31, DOI: 10.1056/NEJMoa2022483 </w:t>
      </w:r>
    </w:p>
    <w:p w:rsidR="007027FF" w:rsidRPr="00240AE0" w:rsidRDefault="0089749F" w:rsidP="00240AE0">
      <w:pPr>
        <w:numPr>
          <w:ilvl w:val="1"/>
          <w:numId w:val="2"/>
        </w:numPr>
        <w:spacing w:line="360" w:lineRule="auto"/>
        <w:ind w:right="0" w:hanging="341"/>
        <w:rPr>
          <w:sz w:val="24"/>
          <w:szCs w:val="24"/>
        </w:rPr>
      </w:pPr>
      <w:r w:rsidRPr="00240AE0">
        <w:rPr>
          <w:sz w:val="24"/>
          <w:szCs w:val="24"/>
        </w:rPr>
        <w:t xml:space="preserve">M. </w:t>
      </w:r>
      <w:proofErr w:type="spellStart"/>
      <w:proofErr w:type="gramStart"/>
      <w:r w:rsidRPr="00240AE0">
        <w:rPr>
          <w:sz w:val="24"/>
          <w:szCs w:val="24"/>
        </w:rPr>
        <w:t>Voysey</w:t>
      </w:r>
      <w:proofErr w:type="spellEnd"/>
      <w:r w:rsidRPr="00240AE0">
        <w:rPr>
          <w:sz w:val="24"/>
          <w:szCs w:val="24"/>
        </w:rPr>
        <w:t xml:space="preserve">  et</w:t>
      </w:r>
      <w:proofErr w:type="gramEnd"/>
      <w:r w:rsidRPr="00240AE0">
        <w:rPr>
          <w:sz w:val="24"/>
          <w:szCs w:val="24"/>
        </w:rPr>
        <w:t xml:space="preserve"> al. Safety and efficacy of the ChAdOx1 nCoV-19 vaccine (AZD1222) against SARS-CoV-2: an interim analysis of four randomised controlled trials in Brazil, South Africa, and the UK.  Lancet 2021; 397: 99–111 </w:t>
      </w:r>
    </w:p>
    <w:p w:rsidR="007027FF" w:rsidRPr="00240AE0" w:rsidRDefault="0089749F" w:rsidP="00240AE0">
      <w:pPr>
        <w:numPr>
          <w:ilvl w:val="1"/>
          <w:numId w:val="2"/>
        </w:numPr>
        <w:spacing w:line="360" w:lineRule="auto"/>
        <w:ind w:right="0" w:hanging="341"/>
        <w:rPr>
          <w:sz w:val="24"/>
          <w:szCs w:val="24"/>
        </w:rPr>
      </w:pPr>
      <w:r w:rsidRPr="00240AE0">
        <w:rPr>
          <w:sz w:val="24"/>
          <w:szCs w:val="24"/>
        </w:rPr>
        <w:t xml:space="preserve">Oxford–AstraZeneca COVID-19 vaccine efficacy.  Lancet. 2020, https://doi.org/10.1016/ S0140-6736(20)32623-4 </w:t>
      </w:r>
    </w:p>
    <w:p w:rsidR="007027FF" w:rsidRPr="00240AE0" w:rsidRDefault="0089749F" w:rsidP="00240AE0">
      <w:pPr>
        <w:numPr>
          <w:ilvl w:val="1"/>
          <w:numId w:val="2"/>
        </w:numPr>
        <w:spacing w:line="360" w:lineRule="auto"/>
        <w:ind w:right="0" w:hanging="341"/>
        <w:rPr>
          <w:sz w:val="24"/>
          <w:szCs w:val="24"/>
        </w:rPr>
      </w:pPr>
      <w:r w:rsidRPr="00240AE0">
        <w:rPr>
          <w:sz w:val="24"/>
          <w:szCs w:val="24"/>
        </w:rPr>
        <w:lastRenderedPageBreak/>
        <w:t xml:space="preserve">Fact sheet for healthcare providers administering vaccine (vaccination providers)- Pfizer </w:t>
      </w:r>
      <w:proofErr w:type="spellStart"/>
      <w:r w:rsidRPr="00240AE0">
        <w:rPr>
          <w:sz w:val="24"/>
          <w:szCs w:val="24"/>
        </w:rPr>
        <w:t>BioNTech</w:t>
      </w:r>
      <w:proofErr w:type="spellEnd"/>
      <w:r w:rsidRPr="00240AE0">
        <w:rPr>
          <w:sz w:val="24"/>
          <w:szCs w:val="24"/>
        </w:rPr>
        <w:t xml:space="preserve">, 2020, https://www.fda.gov/media/144413/download </w:t>
      </w:r>
    </w:p>
    <w:p w:rsidR="007027FF" w:rsidRPr="00240AE0" w:rsidRDefault="0089749F" w:rsidP="00240AE0">
      <w:pPr>
        <w:numPr>
          <w:ilvl w:val="1"/>
          <w:numId w:val="2"/>
        </w:numPr>
        <w:spacing w:line="360" w:lineRule="auto"/>
        <w:ind w:right="0" w:hanging="341"/>
        <w:rPr>
          <w:sz w:val="24"/>
          <w:szCs w:val="24"/>
        </w:rPr>
      </w:pPr>
      <w:r w:rsidRPr="00240AE0">
        <w:rPr>
          <w:sz w:val="24"/>
          <w:szCs w:val="24"/>
        </w:rPr>
        <w:t xml:space="preserve">J. </w:t>
      </w:r>
      <w:proofErr w:type="spellStart"/>
      <w:r w:rsidRPr="00240AE0">
        <w:rPr>
          <w:sz w:val="24"/>
          <w:szCs w:val="24"/>
        </w:rPr>
        <w:t>Sadoff</w:t>
      </w:r>
      <w:proofErr w:type="spellEnd"/>
      <w:r w:rsidRPr="00240AE0">
        <w:rPr>
          <w:sz w:val="24"/>
          <w:szCs w:val="24"/>
        </w:rPr>
        <w:t xml:space="preserve"> et al. Interim Results of a Phase 1–2a Trial of Ad26.COV2.S Covid-19 Vaccine. NEJM,2021, DOI: 10.1056/NEJMoa2034201 </w:t>
      </w:r>
    </w:p>
    <w:p w:rsidR="007027FF" w:rsidRPr="00240AE0" w:rsidRDefault="0089749F" w:rsidP="00240AE0">
      <w:pPr>
        <w:numPr>
          <w:ilvl w:val="1"/>
          <w:numId w:val="2"/>
        </w:numPr>
        <w:spacing w:after="10" w:line="360" w:lineRule="auto"/>
        <w:ind w:right="0" w:hanging="341"/>
        <w:rPr>
          <w:sz w:val="24"/>
          <w:szCs w:val="24"/>
        </w:rPr>
      </w:pPr>
      <w:r w:rsidRPr="00240AE0">
        <w:rPr>
          <w:color w:val="0362C1"/>
          <w:sz w:val="24"/>
          <w:szCs w:val="24"/>
          <w:u w:val="single" w:color="0362C1"/>
        </w:rPr>
        <w:t>https://www.mh.government.bg/media/filer_public/2021/01/09/listovka_i_kratka_khara kteristika-moderna.pdf</w:t>
      </w:r>
      <w:r w:rsidRPr="00240AE0">
        <w:rPr>
          <w:sz w:val="24"/>
          <w:szCs w:val="24"/>
        </w:rPr>
        <w:t xml:space="preserve"> </w:t>
      </w:r>
    </w:p>
    <w:p w:rsidR="007027FF" w:rsidRPr="00240AE0" w:rsidRDefault="0089749F" w:rsidP="00240AE0">
      <w:pPr>
        <w:numPr>
          <w:ilvl w:val="1"/>
          <w:numId w:val="2"/>
        </w:numPr>
        <w:spacing w:line="360" w:lineRule="auto"/>
        <w:ind w:right="0" w:hanging="341"/>
        <w:rPr>
          <w:sz w:val="24"/>
          <w:szCs w:val="24"/>
        </w:rPr>
      </w:pPr>
      <w:r w:rsidRPr="00240AE0">
        <w:rPr>
          <w:sz w:val="24"/>
          <w:szCs w:val="24"/>
        </w:rPr>
        <w:t xml:space="preserve">https://www.bda.bg/images/stories/documents/Vaccines_Covid19/anx_150842_bg.pdf  </w:t>
      </w:r>
    </w:p>
    <w:p w:rsidR="007027FF" w:rsidRPr="00240AE0" w:rsidRDefault="0089749F" w:rsidP="00240AE0">
      <w:pPr>
        <w:numPr>
          <w:ilvl w:val="1"/>
          <w:numId w:val="2"/>
        </w:numPr>
        <w:spacing w:line="360" w:lineRule="auto"/>
        <w:ind w:right="0" w:hanging="341"/>
        <w:rPr>
          <w:sz w:val="24"/>
          <w:szCs w:val="24"/>
        </w:rPr>
      </w:pPr>
      <w:proofErr w:type="spellStart"/>
      <w:r w:rsidRPr="00240AE0">
        <w:rPr>
          <w:sz w:val="24"/>
          <w:szCs w:val="24"/>
        </w:rPr>
        <w:t>Furer</w:t>
      </w:r>
      <w:proofErr w:type="spellEnd"/>
      <w:r w:rsidRPr="00240AE0">
        <w:rPr>
          <w:sz w:val="24"/>
          <w:szCs w:val="24"/>
        </w:rPr>
        <w:t xml:space="preserve"> V. et al. </w:t>
      </w:r>
      <w:r w:rsidRPr="00240AE0">
        <w:rPr>
          <w:color w:val="323332"/>
          <w:sz w:val="24"/>
          <w:szCs w:val="24"/>
        </w:rPr>
        <w:t xml:space="preserve">2019 update of EULAR recommendations for vaccination in adult patients with autoimmune inflammatory rheumatic diseases. </w:t>
      </w:r>
      <w:r w:rsidRPr="00240AE0">
        <w:rPr>
          <w:sz w:val="24"/>
          <w:szCs w:val="24"/>
        </w:rPr>
        <w:t xml:space="preserve">Ann Rheum Dis 2020;79:39–52 </w:t>
      </w:r>
    </w:p>
    <w:p w:rsidR="007027FF" w:rsidRPr="00240AE0" w:rsidRDefault="0089749F" w:rsidP="00240AE0">
      <w:pPr>
        <w:spacing w:line="360" w:lineRule="auto"/>
        <w:ind w:left="1018" w:right="0" w:firstLine="0"/>
        <w:jc w:val="left"/>
        <w:rPr>
          <w:sz w:val="24"/>
          <w:szCs w:val="24"/>
        </w:rPr>
      </w:pPr>
      <w:r w:rsidRPr="00240AE0">
        <w:rPr>
          <w:sz w:val="24"/>
          <w:szCs w:val="24"/>
        </w:rPr>
        <w:t xml:space="preserve"> </w:t>
      </w:r>
    </w:p>
    <w:p w:rsidR="009F615E" w:rsidRPr="00240AE0" w:rsidRDefault="009F615E">
      <w:pPr>
        <w:spacing w:line="360" w:lineRule="auto"/>
        <w:ind w:left="1018" w:right="0" w:firstLine="0"/>
        <w:jc w:val="left"/>
        <w:rPr>
          <w:sz w:val="24"/>
          <w:szCs w:val="24"/>
        </w:rPr>
      </w:pPr>
    </w:p>
    <w:sectPr w:rsidR="009F615E" w:rsidRPr="00240AE0">
      <w:pgSz w:w="12240" w:h="15840"/>
      <w:pgMar w:top="803" w:right="1455" w:bottom="1194" w:left="17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220D78"/>
    <w:multiLevelType w:val="hybridMultilevel"/>
    <w:tmpl w:val="EBE4441C"/>
    <w:lvl w:ilvl="0" w:tplc="6964AEC0">
      <w:start w:val="1"/>
      <w:numFmt w:val="decimal"/>
      <w:lvlText w:val="%1."/>
      <w:lvlJc w:val="left"/>
      <w:pPr>
        <w:ind w:left="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2F6BCA4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2249E40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AEE698A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3F6F656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062652E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A28AB98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36062BC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52CF5A2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D5B1780"/>
    <w:multiLevelType w:val="hybridMultilevel"/>
    <w:tmpl w:val="97FC4978"/>
    <w:lvl w:ilvl="0" w:tplc="6CE05538">
      <w:start w:val="1"/>
      <w:numFmt w:val="decimal"/>
      <w:lvlText w:val="%1.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65ACFB6">
      <w:start w:val="1"/>
      <w:numFmt w:val="decimal"/>
      <w:lvlText w:val="%2."/>
      <w:lvlJc w:val="left"/>
      <w:pPr>
        <w:ind w:left="1018"/>
      </w:pPr>
      <w:rPr>
        <w:rFonts w:ascii="Times New Roman" w:eastAsia="MS Gothic" w:hAnsi="Times New Roman" w:cs="Times New Roman" w:hint="default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2AC230">
      <w:start w:val="1"/>
      <w:numFmt w:val="lowerRoman"/>
      <w:lvlText w:val="%3"/>
      <w:lvlJc w:val="left"/>
      <w:pPr>
        <w:ind w:left="1757"/>
      </w:pPr>
      <w:rPr>
        <w:rFonts w:ascii="MS Gothic" w:eastAsia="MS Gothic" w:hAnsi="MS Gothic" w:cs="MS Gothic"/>
        <w:b w:val="0"/>
        <w:i w:val="0"/>
        <w:strike w:val="0"/>
        <w:dstrike w:val="0"/>
        <w:color w:val="5A5A5A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9062ECA">
      <w:start w:val="1"/>
      <w:numFmt w:val="decimal"/>
      <w:lvlText w:val="%4"/>
      <w:lvlJc w:val="left"/>
      <w:pPr>
        <w:ind w:left="2477"/>
      </w:pPr>
      <w:rPr>
        <w:rFonts w:ascii="MS Gothic" w:eastAsia="MS Gothic" w:hAnsi="MS Gothic" w:cs="MS Gothic"/>
        <w:b w:val="0"/>
        <w:i w:val="0"/>
        <w:strike w:val="0"/>
        <w:dstrike w:val="0"/>
        <w:color w:val="5A5A5A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98E3CDE">
      <w:start w:val="1"/>
      <w:numFmt w:val="lowerLetter"/>
      <w:lvlText w:val="%5"/>
      <w:lvlJc w:val="left"/>
      <w:pPr>
        <w:ind w:left="3197"/>
      </w:pPr>
      <w:rPr>
        <w:rFonts w:ascii="MS Gothic" w:eastAsia="MS Gothic" w:hAnsi="MS Gothic" w:cs="MS Gothic"/>
        <w:b w:val="0"/>
        <w:i w:val="0"/>
        <w:strike w:val="0"/>
        <w:dstrike w:val="0"/>
        <w:color w:val="5A5A5A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13E922A">
      <w:start w:val="1"/>
      <w:numFmt w:val="lowerRoman"/>
      <w:lvlText w:val="%6"/>
      <w:lvlJc w:val="left"/>
      <w:pPr>
        <w:ind w:left="3917"/>
      </w:pPr>
      <w:rPr>
        <w:rFonts w:ascii="MS Gothic" w:eastAsia="MS Gothic" w:hAnsi="MS Gothic" w:cs="MS Gothic"/>
        <w:b w:val="0"/>
        <w:i w:val="0"/>
        <w:strike w:val="0"/>
        <w:dstrike w:val="0"/>
        <w:color w:val="5A5A5A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0B427C6">
      <w:start w:val="1"/>
      <w:numFmt w:val="decimal"/>
      <w:lvlText w:val="%7"/>
      <w:lvlJc w:val="left"/>
      <w:pPr>
        <w:ind w:left="4637"/>
      </w:pPr>
      <w:rPr>
        <w:rFonts w:ascii="MS Gothic" w:eastAsia="MS Gothic" w:hAnsi="MS Gothic" w:cs="MS Gothic"/>
        <w:b w:val="0"/>
        <w:i w:val="0"/>
        <w:strike w:val="0"/>
        <w:dstrike w:val="0"/>
        <w:color w:val="5A5A5A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0143E58">
      <w:start w:val="1"/>
      <w:numFmt w:val="lowerLetter"/>
      <w:lvlText w:val="%8"/>
      <w:lvlJc w:val="left"/>
      <w:pPr>
        <w:ind w:left="5357"/>
      </w:pPr>
      <w:rPr>
        <w:rFonts w:ascii="MS Gothic" w:eastAsia="MS Gothic" w:hAnsi="MS Gothic" w:cs="MS Gothic"/>
        <w:b w:val="0"/>
        <w:i w:val="0"/>
        <w:strike w:val="0"/>
        <w:dstrike w:val="0"/>
        <w:color w:val="5A5A5A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E1C3D7C">
      <w:start w:val="1"/>
      <w:numFmt w:val="lowerRoman"/>
      <w:lvlText w:val="%9"/>
      <w:lvlJc w:val="left"/>
      <w:pPr>
        <w:ind w:left="6077"/>
      </w:pPr>
      <w:rPr>
        <w:rFonts w:ascii="MS Gothic" w:eastAsia="MS Gothic" w:hAnsi="MS Gothic" w:cs="MS Gothic"/>
        <w:b w:val="0"/>
        <w:i w:val="0"/>
        <w:strike w:val="0"/>
        <w:dstrike w:val="0"/>
        <w:color w:val="5A5A5A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7FF"/>
    <w:rsid w:val="00046E99"/>
    <w:rsid w:val="00240AE0"/>
    <w:rsid w:val="006C6487"/>
    <w:rsid w:val="007027FF"/>
    <w:rsid w:val="0089749F"/>
    <w:rsid w:val="009F615E"/>
    <w:rsid w:val="00C3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79576A-6E0A-4F44-9621-0C80F4809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346" w:right="9" w:hanging="346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Кремена Пармакова</dc:creator>
  <cp:keywords/>
  <cp:lastModifiedBy>Кремена Пармакова</cp:lastModifiedBy>
  <cp:revision>5</cp:revision>
  <dcterms:created xsi:type="dcterms:W3CDTF">2021-02-16T16:00:00Z</dcterms:created>
  <dcterms:modified xsi:type="dcterms:W3CDTF">2021-02-17T13:36:00Z</dcterms:modified>
</cp:coreProperties>
</file>