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F90" w:rsidRDefault="00601F90" w:rsidP="00966BEA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</w:t>
      </w:r>
    </w:p>
    <w:p w:rsidR="00966BEA" w:rsidRPr="005E44D8" w:rsidRDefault="00471477" w:rsidP="00966BEA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>74</w:t>
      </w:r>
      <w:r w:rsidR="00B34DD0">
        <w:rPr>
          <w:rFonts w:ascii="Arial" w:eastAsia="Times New Roman" w:hAnsi="Arial" w:cs="Times New Roman"/>
          <w:b/>
          <w:sz w:val="28"/>
          <w:szCs w:val="24"/>
          <w:lang w:val="en-US"/>
        </w:rPr>
        <w:t>.1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  <w:r w:rsidR="00966BEA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 лица над 18 годишна възраст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BE615B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sz w:val="28"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панкреатит </w:t>
      </w:r>
    </w:p>
    <w:p w:rsidR="00471477" w:rsidRPr="00471477" w:rsidRDefault="00471477" w:rsidP="00BE615B">
      <w:pPr>
        <w:widowControl w:val="0"/>
        <w:spacing w:after="0" w:line="240" w:lineRule="auto"/>
        <w:ind w:firstLine="570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C614C4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черния дроб и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вторично злокачествено новообразувание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Хепатоцелуларен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интрахепаталните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Холангиокарцином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Хепатобластом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Ангиосарком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купферовите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новообразувание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интрахепаталните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Мехурен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Хепатален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Ампула на Vater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новообразувание, засягащо едновременно интрахепаталните и екстрахепаталните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Злокачествено новообразувание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Злокачествено новообразувание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Шийна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перитонеум и ретроперитонеум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болест на Hodgkin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нехочкинов лимфом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Злокачествено новообразувание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кардио-езофагеалната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Злокачествено новообразувание на ретроперитонеума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сарком на Kaposi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мезотелиом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С45.1     Мезотелиом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Ретроперитонеум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Мезентериум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Мезоколон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Оментум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париетален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Лезия, излизаща извън границите на една и повече посочени локализации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С78.6      Вторично злокачествено заболяване на ретроперитонеума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Злокачествен асцит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Доброкачествено новообразувание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Екстрахепатални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Островноклетъчен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Лангерхансови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Доброкачествено новообразувание на меката тъкан на ретроперитонеума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доброкачествено липоматозно новообразувание на перитонеума и ретроперитонеума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мезотелиална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Ретроперитонеум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[холелитиаза]</w:t>
            </w:r>
          </w:p>
          <w:p w:rsidR="00471477" w:rsidRPr="00525C90" w:rsidRDefault="00471477" w:rsidP="00525C90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Камъни на жлъчния мехур с остър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жлъчния мехур с друг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подрубриката К80.2, с холецистит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Холецистит с холелитиаза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холангит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с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Всяко състояние, класифицирано в подрубриката К80.5, с холецистит (с холангит)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Камъни на жлъчните пътища без холангит или холецистит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Холедохолитиаза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холедохус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холангит или холецистит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холелитиаза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видове холелитиаза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К81.0     Остър холецистит</w:t>
            </w:r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Абсцес на жлъчния мехур Ангиохолецистит Холецистит: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Хидропс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Мукоцеле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Холестероза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“Ягодообразен”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дуктус цистикус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Дискинезия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дуктус цистикус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постхолецистектомичен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Холангит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асцендентен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стенозиращ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холангитен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холангит с холедохолитиаза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негноен деструктивен холангит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Запушване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Оклузия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Стеноза             на дуктус холедохус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Стриктура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 холелитиаза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дуктус холедохус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Холедоходуоденална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Остър панкреатит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задстомашната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 на задстомашната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Панкреатит: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хеморагичен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подостър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 на задстомашната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задстомашната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панкреатична стеаторея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хронични панкреатити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Хроничен панкреатит: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рекурентен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задстомашната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Псевдокиста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Фиброза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 задстомашната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некроза: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дължаща се на хирургична намеса върху стомашночревния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Панкреатична стеаторея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гастройеюнална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гастроентерит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проктит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остеомалация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106AE" w:rsidRPr="00471477" w:rsidRDefault="00746AF2" w:rsidP="001106A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>
        <w:rPr>
          <w:rFonts w:ascii="Arial" w:eastAsia="Times New Roman" w:hAnsi="Arial" w:cs="Times New Roman"/>
          <w:b/>
          <w:noProof/>
          <w:szCs w:val="20"/>
        </w:rPr>
        <w:t>КОДОВЕ НА ОСНОВНИ ПРОЦЕДУРИ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1106AE" w:rsidRPr="00471477" w:rsidTr="001106AE">
        <w:trPr>
          <w:jc w:val="center"/>
        </w:trPr>
        <w:tc>
          <w:tcPr>
            <w:tcW w:w="9412" w:type="dxa"/>
          </w:tcPr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Панендоскопия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двойна балонна ендоскопия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илеума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</w:p>
          <w:p w:rsidR="001106AE" w:rsidRPr="00471477" w:rsidRDefault="001106AE" w:rsidP="00C614C4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ексцизия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Езофагогастродуоденоскопия [EGD] } 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 балонна ентероскопия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Панендоскопия до дванадесетопръстника с биопсия</w:t>
            </w: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безконтрастна радиография на корем (58900-00 [1977])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фаринкс, хранопровод, стомах или дуоденум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Бариева каша за фаринкс, хранопровод, стомах или дуоденум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контрастна каша за хранопровод, стомах или дуоденум и последваща до колон (58912-00 [1975])</w:t>
            </w: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регион от диафрагмата до криста илиака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компютърна томография при спирална ангиография (57350 [1966])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1106AE" w:rsidRPr="00471477" w:rsidRDefault="001106AE" w:rsidP="00C614C4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8B0A41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B0A41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8B0A41">
              <w:rPr>
                <w:rFonts w:ascii="Arial" w:eastAsia="Times New Roman" w:hAnsi="Arial" w:cs="Arial"/>
                <w:sz w:val="20"/>
                <w:szCs w:val="20"/>
              </w:rPr>
              <w:tab/>
              <w:t>Ендоскопски ултразвук</w:t>
            </w:r>
          </w:p>
          <w:p w:rsidR="001106AE" w:rsidRPr="008B0A41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B0A4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Ултразвук, съвместно с ендоскопия</w:t>
            </w:r>
          </w:p>
          <w:p w:rsidR="001106AE" w:rsidRPr="008B0A41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8B0A41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B0A4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1106AE" w:rsidRPr="008B0A41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B0A41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8B0A41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1106AE" w:rsidRPr="008B0A41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B0A41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B0A4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B0A41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A41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B-mode ултразвуково изследване и интегрирано Доплерово измерване на поток чрез спектрален анализ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мапиране на кондуит (55294 [1948])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интра-абдоминални, аорта и илиачни артерии и/или вена кава инфериор и илиачни вени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Дуплекс ултразвук на ренални и/или висцерални съдове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илиачни съдове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вена кава инфериор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– холангиография</w:t>
            </w: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1932 Изследвания на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91920-01      Изследване на уринен седимент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</w:t>
            </w:r>
            <w:r w:rsidRPr="00FB5EB4">
              <w:rPr>
                <w:rFonts w:ascii="Arial" w:eastAsia="Calibri" w:hAnsi="Arial" w:cs="Arial"/>
                <w:sz w:val="20"/>
                <w:szCs w:val="20"/>
                <w:lang w:val="en-US"/>
              </w:rPr>
              <w:t>3</w:t>
            </w:r>
            <w:r w:rsidRPr="00FB5EB4">
              <w:rPr>
                <w:rFonts w:ascii="Arial" w:eastAsia="Calibri" w:hAnsi="Arial" w:cs="Arial"/>
                <w:sz w:val="20"/>
                <w:szCs w:val="20"/>
              </w:rPr>
              <w:t>      Изследване за албумин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B5EB4">
              <w:rPr>
                <w:rFonts w:ascii="Calibri" w:eastAsia="Calibri" w:hAnsi="Calibri" w:cs="Times New Roman"/>
                <w:sz w:val="20"/>
                <w:szCs w:val="20"/>
              </w:rPr>
              <w:t xml:space="preserve"> Микроалбуминурия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91920-05      Изследване за уробилиноген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91920-06      Изследване на pH на урина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91920-07      Изследване за кетотела в урината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91920-08      Изследване на захар в уринна проба</w:t>
            </w:r>
          </w:p>
          <w:p w:rsidR="00E45A77" w:rsidRPr="00FB5EB4" w:rsidRDefault="00E45A77" w:rsidP="00E45A77">
            <w:pPr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5EB4">
              <w:rPr>
                <w:rFonts w:ascii="Arial" w:eastAsia="Calibri" w:hAnsi="Arial" w:cs="Arial"/>
                <w:sz w:val="20"/>
                <w:szCs w:val="20"/>
              </w:rPr>
              <w:t>91920-10      Изследване на относително тегло на урина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91920-17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Изследване за нитрити в урината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Тест за моторика на хранопровод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 мотилитетен тест на хранопровод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E45A77" w:rsidRPr="00FB5EB4" w:rsidRDefault="00E45A77" w:rsidP="00E45A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5EB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5EB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E45A77" w:rsidRPr="00FB5EB4" w:rsidRDefault="00E45A77" w:rsidP="00E45A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1923 Хематологични изследвания 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91910-04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Кръвна картина – поне осем или повече от посочените показатели: хемоглобин, еритроцити, левкоцити, хематокрит, тромбоцити, MCV, MCH, MCHC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91910-05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Диференциално броене на левкоцити – визуално микроскопско или автоматично апаратно изследване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91910-07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Скорост на утаяване на еритроцитите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91910-08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време на кървене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91910-09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протромбиново време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91910-11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Изследване на фибриноген</w:t>
            </w: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lastRenderedPageBreak/>
              <w:t>1924 Биохимична изследвания</w:t>
            </w:r>
          </w:p>
          <w:p w:rsidR="00E45A77" w:rsidRPr="006B1913" w:rsidRDefault="006B1913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91910-12</w:t>
            </w:r>
            <w:r w:rsidRPr="00857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9B3D66">
              <w:rPr>
                <w:rFonts w:ascii="Arial" w:eastAsia="Times New Roman" w:hAnsi="Arial" w:cs="Arial"/>
                <w:sz w:val="20"/>
                <w:szCs w:val="20"/>
              </w:rPr>
              <w:t>Клинично-химични изследвания за глюкоза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91910-13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креатинин</w:t>
            </w:r>
          </w:p>
          <w:p w:rsidR="00E45A77" w:rsidRPr="00FB5EB4" w:rsidRDefault="00E45A77" w:rsidP="00E45A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91910-19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Клинично-химични изследвания за С-реактивен протеин</w:t>
            </w: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E45A77" w:rsidRPr="00FB5EB4" w:rsidRDefault="00E45A77" w:rsidP="00E45A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b/>
                <w:bCs/>
                <w:color w:val="FFFF00"/>
                <w:sz w:val="20"/>
                <w:szCs w:val="20"/>
              </w:rPr>
              <w:t xml:space="preserve"> </w:t>
            </w:r>
            <w:r w:rsidRPr="00FB5EB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Морфологични изследвания</w:t>
            </w:r>
          </w:p>
          <w:p w:rsidR="00E45A77" w:rsidRPr="00FB5EB4" w:rsidRDefault="00E45A77" w:rsidP="00E45A77">
            <w:pPr>
              <w:tabs>
                <w:tab w:val="left" w:pos="1197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5EB4">
              <w:rPr>
                <w:rFonts w:ascii="Arial" w:eastAsia="Times New Roman" w:hAnsi="Arial" w:cs="Arial"/>
                <w:sz w:val="20"/>
                <w:szCs w:val="20"/>
              </w:rPr>
              <w:t>91938-00</w:t>
            </w:r>
            <w:r w:rsidRPr="00FB5EB4">
              <w:rPr>
                <w:rFonts w:ascii="Arial" w:eastAsia="Times New Roman" w:hAnsi="Arial" w:cs="Arial"/>
                <w:sz w:val="20"/>
                <w:szCs w:val="20"/>
              </w:rPr>
              <w:tab/>
              <w:t>Цитологично изследване на асцитна течност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CB7AAD" w:rsidRDefault="00CB7AAD" w:rsidP="00CB7AAD">
            <w:pPr>
              <w:pStyle w:val="Line2"/>
            </w:pPr>
            <w:r>
              <w:t>92191-00</w:t>
            </w:r>
            <w:r>
              <w:tab/>
              <w:t>Полимеразна верижна реакция за доказване на COVID-19</w:t>
            </w:r>
          </w:p>
          <w:p w:rsidR="00CB7AAD" w:rsidRDefault="00CB7AAD" w:rsidP="00CB7AAD">
            <w:pPr>
              <w:pStyle w:val="Line2"/>
              <w:rPr>
                <w:lang w:val="en-US"/>
              </w:rPr>
            </w:pPr>
            <w:r>
              <w:t>92191-01</w:t>
            </w:r>
            <w:r>
              <w:tab/>
              <w:t>Тест за откриване антиген на SARS-CoV-2</w:t>
            </w:r>
          </w:p>
          <w:p w:rsidR="00CB7AAD" w:rsidRPr="00CB7AAD" w:rsidRDefault="00CB7AAD" w:rsidP="00CC7736">
            <w:pPr>
              <w:pStyle w:val="SrgCod"/>
              <w:spacing w:line="240" w:lineRule="auto"/>
              <w:rPr>
                <w:lang w:val="en-US"/>
              </w:rPr>
            </w:pPr>
          </w:p>
          <w:p w:rsidR="00CC7736" w:rsidRDefault="00CC7736" w:rsidP="00CB7AAD">
            <w:pPr>
              <w:pStyle w:val="Line1"/>
              <w:tabs>
                <w:tab w:val="left" w:pos="4945"/>
              </w:tabs>
            </w:pPr>
            <w:r>
              <w:rPr>
                <w:lang w:val="bg-BG"/>
              </w:rPr>
              <w:t>1934</w:t>
            </w:r>
            <w:r>
              <w:rPr>
                <w:lang w:val="bg-BG"/>
              </w:rPr>
              <w:tab/>
            </w:r>
          </w:p>
          <w:p w:rsidR="001106AE" w:rsidRDefault="001106AE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  <w:lang w:val="en-US"/>
              </w:rPr>
            </w:pPr>
          </w:p>
          <w:p w:rsidR="00CB7AAD" w:rsidRPr="00CB7AAD" w:rsidRDefault="00CB7AAD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  <w:lang w:val="en-US"/>
              </w:rPr>
            </w:pPr>
          </w:p>
          <w:p w:rsidR="001106AE" w:rsidRPr="00471477" w:rsidRDefault="001106AE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1106AE" w:rsidRPr="00471477" w:rsidRDefault="001106AE" w:rsidP="00C614C4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Абдоминална парацентеза</w:t>
            </w: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двойно-балонна ентероскопия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Поставяне на йеюностомна тръба за хранене</w:t>
            </w:r>
          </w:p>
          <w:p w:rsidR="001106AE" w:rsidRPr="00471477" w:rsidRDefault="001106AE" w:rsidP="00C614C4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кръвосъсирващи фактори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антихемофилен фактор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коагулационни фактори НКД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криопреципитати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кръвен експандер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 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гранулоцити</w:t>
            </w:r>
          </w:p>
          <w:p w:rsidR="001106AE" w:rsidRPr="00471477" w:rsidRDefault="001106AE" w:rsidP="00C614C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1106AE" w:rsidRPr="00471477" w:rsidRDefault="001106AE" w:rsidP="00C614C4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кръв и кръвни продукти (виж блок [1893])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ектопична бременност (виж блок [1256])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перфузия (виж блок [1886])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106AE" w:rsidRPr="00471477" w:rsidRDefault="001106AE" w:rsidP="00C614C4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хирургическо прилагане на химиотерапевтични агенти (виж блок[741])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Последващият списък с приложения е създаден за употреба с кодовете от блок [1920] Прилагане на фармакотерапия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хранително вещество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електролит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противоинфекциозен агент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Интравенозно приложение на фармакологичен агент, противоинфекциозен агент 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Интравенозно приложение на фармакологичен агент, стероид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Интравенозно приложение на фармакологичен агент, антинеопластичен агент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106AE" w:rsidRPr="00471477" w:rsidRDefault="001106AE" w:rsidP="00C614C4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96199-09     Интравенозно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инфузионен порт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Port-A-Cath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1106AE" w:rsidRPr="00471477" w:rsidRDefault="001106AE" w:rsidP="00C614C4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C614C4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106AE" w:rsidRPr="00471477" w:rsidRDefault="001106AE" w:rsidP="00C614C4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1106AE" w:rsidRPr="00471477" w:rsidRDefault="001106AE" w:rsidP="001106A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B8685F" w:rsidRDefault="00E45A77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="00B8685F">
        <w:rPr>
          <w:rFonts w:ascii="Arial" w:eastAsia="Times New Roman" w:hAnsi="Arial" w:cs="Times New Roman"/>
          <w:szCs w:val="20"/>
        </w:rPr>
        <w:t xml:space="preserve">Една диагностична процедура - </w:t>
      </w:r>
      <w:r w:rsidR="00B8685F">
        <w:rPr>
          <w:rFonts w:ascii="Arial" w:eastAsia="Times New Roman" w:hAnsi="Arial" w:cs="Arial"/>
          <w:szCs w:val="20"/>
        </w:rPr>
        <w:t>в</w:t>
      </w:r>
      <w:r w:rsidRPr="00FB5EB4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Pr="00FB5EB4">
        <w:rPr>
          <w:rFonts w:ascii="Arial" w:eastAsia="Times New Roman" w:hAnsi="Arial" w:cs="Times New Roman"/>
          <w:bCs/>
          <w:color w:val="000000"/>
          <w:szCs w:val="24"/>
        </w:rPr>
        <w:t xml:space="preserve">, посочени в блок </w:t>
      </w:r>
      <w:r w:rsidRPr="00FB5EB4">
        <w:rPr>
          <w:rFonts w:ascii="Arial" w:eastAsia="Times New Roman" w:hAnsi="Arial" w:cs="Times New Roman"/>
          <w:szCs w:val="20"/>
        </w:rPr>
        <w:t>1932 „Изследвания на урината“;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Arial"/>
          <w:bCs/>
          <w:color w:val="000000"/>
          <w:szCs w:val="24"/>
        </w:rPr>
      </w:pPr>
      <w:r>
        <w:rPr>
          <w:rFonts w:ascii="Arial" w:eastAsia="Times New Roman" w:hAnsi="Arial" w:cs="Times New Roman"/>
          <w:szCs w:val="20"/>
          <w:lang w:val="ru-RU"/>
        </w:rPr>
        <w:t xml:space="preserve">- Втора - </w:t>
      </w:r>
      <w:r>
        <w:rPr>
          <w:rFonts w:ascii="Arial" w:eastAsia="Times New Roman" w:hAnsi="Arial" w:cs="Arial"/>
          <w:szCs w:val="20"/>
        </w:rPr>
        <w:t>в</w:t>
      </w:r>
      <w:r w:rsidR="00E45A77" w:rsidRPr="00FB5EB4">
        <w:rPr>
          <w:rFonts w:ascii="Arial" w:eastAsia="Times New Roman" w:hAnsi="Arial" w:cs="Arial"/>
          <w:szCs w:val="20"/>
        </w:rPr>
        <w:t>ключва задължително извършване на целия комплекс от медико-диагностични изследвания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>, посочени в блок 1923 „Хематологични изследвания“ и блок 1924 „Биохимични изследв</w:t>
      </w:r>
      <w:r w:rsidR="00485484">
        <w:rPr>
          <w:rFonts w:ascii="Arial" w:eastAsia="Times New Roman" w:hAnsi="Arial" w:cs="Arial"/>
          <w:bCs/>
          <w:color w:val="000000"/>
          <w:szCs w:val="24"/>
        </w:rPr>
        <w:t>ания“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>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>
        <w:rPr>
          <w:rFonts w:ascii="Arial" w:eastAsia="Times New Roman" w:hAnsi="Arial" w:cs="Arial"/>
          <w:bCs/>
          <w:color w:val="000000"/>
          <w:szCs w:val="24"/>
        </w:rPr>
        <w:t>- Трета -</w:t>
      </w:r>
      <w:r w:rsidR="00E45A77" w:rsidRPr="00FB5EB4">
        <w:rPr>
          <w:rFonts w:ascii="Arial" w:eastAsia="Times New Roman" w:hAnsi="Arial" w:cs="Arial"/>
          <w:bCs/>
          <w:color w:val="000000"/>
          <w:szCs w:val="24"/>
        </w:rPr>
        <w:t xml:space="preserve"> </w:t>
      </w:r>
      <w:r w:rsidR="00E45A77" w:rsidRPr="00FB5EB4">
        <w:rPr>
          <w:rFonts w:ascii="Arial" w:eastAsia="Times New Roman" w:hAnsi="Arial" w:cs="Times New Roman"/>
          <w:szCs w:val="20"/>
        </w:rPr>
        <w:t>11700-00</w:t>
      </w:r>
      <w:r w:rsidR="00C614C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="00C614C4">
        <w:rPr>
          <w:rFonts w:ascii="Arial" w:eastAsia="Times New Roman" w:hAnsi="Arial" w:cs="Times New Roman"/>
          <w:szCs w:val="20"/>
        </w:rPr>
        <w:t>- ЕКГ</w:t>
      </w:r>
      <w:r w:rsidR="00E45A77" w:rsidRPr="00FB5EB4">
        <w:rPr>
          <w:rFonts w:ascii="Arial" w:eastAsia="Times New Roman" w:hAnsi="Arial" w:cs="Times New Roman"/>
          <w:szCs w:val="20"/>
        </w:rPr>
        <w:t>;</w:t>
      </w:r>
    </w:p>
    <w:p w:rsid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0"/>
          <w:lang w:val="ru-RU"/>
        </w:rPr>
        <w:t xml:space="preserve">- Четвърта - </w:t>
      </w:r>
      <w:r w:rsidR="00E45A77" w:rsidRPr="008B0A41">
        <w:rPr>
          <w:rFonts w:ascii="Arial" w:eastAsia="Times New Roman" w:hAnsi="Arial" w:cs="Times New Roman"/>
          <w:szCs w:val="24"/>
        </w:rPr>
        <w:t>55036-00</w:t>
      </w:r>
      <w:r>
        <w:rPr>
          <w:rFonts w:ascii="Arial" w:eastAsia="Times New Roman" w:hAnsi="Arial" w:cs="Times New Roman"/>
          <w:szCs w:val="24"/>
        </w:rPr>
        <w:t xml:space="preserve"> или </w:t>
      </w:r>
      <w:r w:rsidR="00E45A77" w:rsidRPr="008B0A41">
        <w:rPr>
          <w:rFonts w:ascii="Arial" w:eastAsia="Times New Roman" w:hAnsi="Arial" w:cs="Times New Roman"/>
          <w:szCs w:val="24"/>
        </w:rPr>
        <w:t>55276</w:t>
      </w:r>
      <w:r>
        <w:rPr>
          <w:rFonts w:ascii="Arial" w:eastAsia="Times New Roman" w:hAnsi="Arial" w:cs="Times New Roman"/>
          <w:szCs w:val="24"/>
        </w:rPr>
        <w:t xml:space="preserve">-00 или </w:t>
      </w:r>
      <w:r w:rsidR="00E45A77" w:rsidRPr="003D299A">
        <w:rPr>
          <w:rFonts w:ascii="Arial" w:eastAsia="Times New Roman" w:hAnsi="Arial" w:cs="Times New Roman"/>
          <w:szCs w:val="24"/>
        </w:rPr>
        <w:t>55278-00;</w:t>
      </w:r>
    </w:p>
    <w:p w:rsidR="00E45A77" w:rsidRPr="00B8685F" w:rsidRDefault="00B8685F" w:rsidP="00B8685F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>
        <w:rPr>
          <w:rFonts w:ascii="Arial" w:eastAsia="Times New Roman" w:hAnsi="Arial" w:cs="Times New Roman"/>
          <w:szCs w:val="24"/>
        </w:rPr>
        <w:lastRenderedPageBreak/>
        <w:t>-</w:t>
      </w:r>
      <w:r w:rsidR="00C614C4">
        <w:rPr>
          <w:rFonts w:ascii="Arial" w:eastAsia="Times New Roman" w:hAnsi="Arial" w:cs="Times New Roman"/>
          <w:szCs w:val="24"/>
        </w:rPr>
        <w:t xml:space="preserve"> пета - </w:t>
      </w:r>
      <w:proofErr w:type="spellStart"/>
      <w:r w:rsidR="00E45A77" w:rsidRPr="00FB5EB4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="00E45A77" w:rsidRPr="00FB5EB4">
        <w:rPr>
          <w:rFonts w:ascii="Arial" w:eastAsia="Times New Roman" w:hAnsi="Arial" w:cs="Times New Roman"/>
          <w:szCs w:val="24"/>
        </w:rPr>
        <w:t xml:space="preserve"> или</w:t>
      </w:r>
      <w:r w:rsidR="00E45A77"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E45A77" w:rsidRPr="00B8685F">
        <w:rPr>
          <w:rFonts w:ascii="Arial" w:eastAsia="Times New Roman" w:hAnsi="Arial" w:cs="Arial"/>
          <w:lang w:val="en-GB"/>
        </w:rPr>
        <w:t>30668-00</w:t>
      </w:r>
      <w:r w:rsidR="00E45A77" w:rsidRPr="00FB5EB4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="00E45A77" w:rsidRPr="00FB5EB4">
        <w:rPr>
          <w:rFonts w:ascii="Arial" w:eastAsia="Times New Roman" w:hAnsi="Arial" w:cs="Times New Roman"/>
          <w:szCs w:val="24"/>
        </w:rPr>
        <w:t>или рентгенологична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и две терапевтични процедури, от които</w:t>
      </w:r>
      <w:r w:rsidR="00C614C4">
        <w:rPr>
          <w:rFonts w:ascii="Arial" w:eastAsia="Times New Roman" w:hAnsi="Arial" w:cs="Times New Roman"/>
          <w:szCs w:val="24"/>
        </w:rPr>
        <w:t xml:space="preserve"> едната задължително е 96199-09 или 96200-09 или </w:t>
      </w:r>
      <w:bookmarkStart w:id="0" w:name="_GoBack"/>
      <w:bookmarkEnd w:id="0"/>
      <w:r w:rsidRPr="00FB5EB4">
        <w:rPr>
          <w:rFonts w:ascii="Arial" w:eastAsia="Times New Roman" w:hAnsi="Arial" w:cs="Times New Roman"/>
          <w:szCs w:val="24"/>
        </w:rPr>
        <w:t xml:space="preserve">96197-09.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FB5EB4">
        <w:rPr>
          <w:rFonts w:ascii="Arial" w:eastAsia="Times New Roman" w:hAnsi="Arial" w:cs="Times New Roman"/>
          <w:szCs w:val="20"/>
        </w:rPr>
        <w:t>При пункция на асцит (30406-00) задължително се извършва и отчита</w:t>
      </w:r>
      <w:r w:rsidRPr="00FB5EB4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FB5EB4">
        <w:rPr>
          <w:rFonts w:ascii="Arial" w:eastAsia="Times New Roman" w:hAnsi="Arial" w:cs="Times New Roman"/>
          <w:szCs w:val="24"/>
        </w:rPr>
        <w:t>91938-00.</w:t>
      </w:r>
      <w:r w:rsidRPr="00FB5EB4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45A77" w:rsidRPr="00FB5EB4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При заболявания на жлъчния мехур КП се отчита само с четири диагностични процедури (</w:t>
      </w:r>
      <w:r w:rsidRPr="00FB5EB4">
        <w:rPr>
          <w:rFonts w:ascii="Arial" w:eastAsia="Times New Roman" w:hAnsi="Arial" w:cs="Times New Roman"/>
          <w:szCs w:val="20"/>
        </w:rPr>
        <w:t xml:space="preserve">кодовете, посочени в блок 1932); </w:t>
      </w:r>
      <w:r w:rsidRPr="00FB5EB4">
        <w:rPr>
          <w:rFonts w:ascii="Arial" w:eastAsia="Times New Roman" w:hAnsi="Arial" w:cs="Times New Roman"/>
          <w:szCs w:val="20"/>
          <w:lang w:val="ru-RU"/>
        </w:rPr>
        <w:t>(</w:t>
      </w:r>
      <w:r w:rsidRPr="00FB5EB4">
        <w:rPr>
          <w:rFonts w:ascii="Arial" w:eastAsia="Times New Roman" w:hAnsi="Arial" w:cs="Arial"/>
        </w:rPr>
        <w:t>кодовете, посочени в блок 1923 и блок 1924)</w:t>
      </w:r>
      <w:r w:rsidRPr="00FB5EB4">
        <w:rPr>
          <w:rFonts w:ascii="Arial" w:eastAsia="Times New Roman" w:hAnsi="Arial" w:cs="Times New Roman"/>
          <w:szCs w:val="20"/>
        </w:rPr>
        <w:t>;11700-00</w:t>
      </w:r>
      <w:r w:rsidRPr="00FB5EB4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), като ендоскопска процедура не е необходима.</w:t>
      </w:r>
    </w:p>
    <w:p w:rsidR="00E45A77" w:rsidRDefault="00E45A77" w:rsidP="00E45A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  <w:lang w:val="en-US"/>
        </w:rPr>
      </w:pPr>
      <w:r w:rsidRPr="00FB5EB4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96197-02;</w:t>
      </w:r>
      <w:r w:rsidR="00485484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96199-02;</w:t>
      </w:r>
      <w:r w:rsidR="00485484">
        <w:rPr>
          <w:rFonts w:ascii="Arial" w:eastAsia="Times New Roman" w:hAnsi="Arial" w:cs="Times New Roman"/>
          <w:noProof/>
          <w:snapToGrid w:val="0"/>
          <w:szCs w:val="20"/>
          <w:lang w:val="en-US"/>
        </w:rPr>
        <w:t xml:space="preserve">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>96199-00</w:t>
      </w:r>
      <w:r w:rsidRPr="00485484">
        <w:rPr>
          <w:rFonts w:ascii="Arial" w:eastAsia="Times New Roman" w:hAnsi="Arial" w:cs="Times New Roman"/>
          <w:noProof/>
          <w:snapToGrid w:val="0"/>
          <w:szCs w:val="20"/>
        </w:rPr>
        <w:t xml:space="preserve"> и </w:t>
      </w:r>
      <w:r w:rsidR="009A2081">
        <w:rPr>
          <w:rFonts w:ascii="Arial" w:eastAsia="Times New Roman" w:hAnsi="Arial" w:cs="Times New Roman"/>
          <w:noProof/>
          <w:snapToGrid w:val="0"/>
          <w:szCs w:val="20"/>
        </w:rPr>
        <w:t xml:space="preserve">96199-09 или </w:t>
      </w:r>
      <w:r w:rsidRPr="00FB5EB4">
        <w:rPr>
          <w:rFonts w:ascii="Arial" w:eastAsia="Times New Roman" w:hAnsi="Arial" w:cs="Times New Roman"/>
          <w:noProof/>
          <w:snapToGrid w:val="0"/>
          <w:szCs w:val="20"/>
        </w:rPr>
        <w:t xml:space="preserve">96200-09/96197-09, се кодират само при минимум тридневен курс на лечение, като в ИЗ се посочва вида, дозата и курса на лечение. </w:t>
      </w:r>
    </w:p>
    <w:p w:rsidR="00262679" w:rsidRPr="00262679" w:rsidRDefault="00262679" w:rsidP="00262679">
      <w:pPr>
        <w:pStyle w:val="Body"/>
        <w:keepNext/>
        <w:keepLines/>
        <w:ind w:firstLine="513"/>
        <w:rPr>
          <w:noProof/>
          <w:lang w:val="en-US"/>
        </w:rPr>
      </w:pPr>
      <w:r>
        <w:rPr>
          <w:noProof/>
        </w:rPr>
        <w:t xml:space="preserve">Основна процедура </w:t>
      </w:r>
      <w:r>
        <w:t>92191-00</w:t>
      </w:r>
      <w:r>
        <w:rPr>
          <w:noProof/>
        </w:rPr>
        <w:t xml:space="preserve"> </w:t>
      </w:r>
      <w:r w:rsidR="001A4C0F">
        <w:rPr>
          <w:noProof/>
        </w:rPr>
        <w:t xml:space="preserve">и 92191-01 </w:t>
      </w:r>
      <w:r>
        <w:rPr>
          <w:noProof/>
        </w:rPr>
        <w:t xml:space="preserve">се осъществява при необходимост и се прилага при диагностициране на </w:t>
      </w:r>
      <w:r w:rsidR="0091606B">
        <w:rPr>
          <w:noProof/>
          <w:lang w:val="en-US"/>
        </w:rPr>
        <w:t>Covid 19</w:t>
      </w:r>
      <w:r>
        <w:rPr>
          <w:noProof/>
        </w:rPr>
        <w:t>. Тази процедура се извършва при показания и  се отчита като допълнителна диагностична процедура, към другите диагностични процедури, посочени във всеки диагностично – лечебен алгоритъм на съответната клинична пътека.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FB5EB4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FB5EB4">
        <w:rPr>
          <w:rFonts w:ascii="Arial" w:eastAsia="Times New Roman" w:hAnsi="Arial" w:cs="Times New Roman"/>
          <w:szCs w:val="24"/>
        </w:rPr>
        <w:t>ако са приложени ехографски и ендоскопски протокол и/или снимка от друго изобразяващо изследване – за основните процедури, с които се отчита пътеката.</w:t>
      </w:r>
    </w:p>
    <w:p w:rsidR="00E45A77" w:rsidRPr="00FB5EB4" w:rsidRDefault="00E45A77" w:rsidP="00E45A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FB5EB4">
        <w:rPr>
          <w:rFonts w:ascii="Arial" w:eastAsia="Times New Roman" w:hAnsi="Arial" w:cs="Times New Roman"/>
          <w:szCs w:val="24"/>
        </w:rPr>
        <w:t>Клиничната пътека се счита за завършена при заболявания на жлъчния мехур само при приложена снимка от ехографското изследване, докуменитращо жлъчното заболяване.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1923 и 1924, се извършват и кодират всички кодове на изследвания от двата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E45A77" w:rsidRPr="00FB5EB4" w:rsidRDefault="00E45A77" w:rsidP="00E45A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Cs w:val="20"/>
        </w:rPr>
      </w:pPr>
      <w:r w:rsidRPr="00FB5EB4">
        <w:rPr>
          <w:rFonts w:ascii="Arial" w:eastAsia="Times New Roman" w:hAnsi="Arial" w:cs="Arial"/>
          <w:color w:val="000000"/>
          <w:szCs w:val="20"/>
        </w:rPr>
        <w:t>Когато се използват кодовете от блок 1932, се извършват и кодират всички кодове на изследвания от блока и се считат за една основна диагностична процедура за завършване и отчитане на тази</w:t>
      </w:r>
      <w:r w:rsidRPr="00FB5EB4">
        <w:rPr>
          <w:rFonts w:ascii="Arial" w:eastAsia="Times New Roman" w:hAnsi="Arial" w:cs="Arial"/>
          <w:color w:val="000000"/>
          <w:szCs w:val="20"/>
          <w:lang w:val="en-US"/>
        </w:rPr>
        <w:t xml:space="preserve"> </w:t>
      </w:r>
      <w:r w:rsidRPr="00FB5EB4">
        <w:rPr>
          <w:rFonts w:ascii="Arial" w:eastAsia="Times New Roman" w:hAnsi="Arial" w:cs="Arial"/>
          <w:color w:val="000000"/>
          <w:szCs w:val="20"/>
        </w:rPr>
        <w:t xml:space="preserve">КП. </w:t>
      </w:r>
    </w:p>
    <w:p w:rsidR="001106AE" w:rsidRPr="00471477" w:rsidRDefault="001106AE" w:rsidP="001106A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53ADF" w:rsidRDefault="00853ADF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b/>
          <w:szCs w:val="24"/>
        </w:rPr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FE11B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lastRenderedPageBreak/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</w:t>
      </w:r>
      <w:r w:rsidR="00F00EA2"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,</w:t>
      </w:r>
      <w:r w:rsidRPr="00FE11B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FE11B9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FE11B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E11B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E11B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E11B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E11B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E11B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FE11B9">
        <w:rPr>
          <w:rFonts w:ascii="Arial" w:eastAsia="Times New Roman" w:hAnsi="Arial" w:cs="Times New Roman"/>
          <w:noProof/>
          <w:szCs w:val="20"/>
        </w:rPr>
        <w:t xml:space="preserve">за </w:t>
      </w:r>
      <w:r w:rsidRPr="00FE11B9">
        <w:rPr>
          <w:rFonts w:ascii="Arial" w:eastAsia="Times New Roman" w:hAnsi="Arial" w:cs="Times New Roman"/>
          <w:szCs w:val="20"/>
        </w:rPr>
        <w:t>извънболнична или болнична помощ</w:t>
      </w:r>
      <w:r w:rsidRPr="00FE11B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FE11B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p w:rsidR="00525C90" w:rsidRPr="00FE11B9" w:rsidRDefault="00525C90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FE11B9" w:rsidTr="00C614C4">
        <w:trPr>
          <w:jc w:val="center"/>
        </w:trPr>
        <w:tc>
          <w:tcPr>
            <w:tcW w:w="8294" w:type="dxa"/>
          </w:tcPr>
          <w:p w:rsidR="00471477" w:rsidRPr="00FE11B9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E11B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гастроентерология 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FE11B9" w:rsidRDefault="00471477" w:rsidP="00F00EA2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вътрешни болести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2. Анестезиологичен екип</w:t>
            </w:r>
          </w:p>
        </w:tc>
      </w:tr>
      <w:tr w:rsidR="00471477" w:rsidRPr="00FE11B9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FE11B9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Клинична лаборатория</w:t>
            </w:r>
          </w:p>
        </w:tc>
      </w:tr>
      <w:tr w:rsidR="00471477" w:rsidRPr="00471477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E11B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4. Видеоендоскопска апаратура за горна и долна ендоскопия (Ендоскопска апаратура   за горна и долна ендоскопия – за лица под 18 години)</w:t>
            </w:r>
          </w:p>
        </w:tc>
      </w:tr>
      <w:tr w:rsidR="00471477" w:rsidRPr="00471477" w:rsidTr="00C614C4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5. УЗ апарат среден клас, с възможност за Доплер ехографии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C614C4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C614C4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 (отделение) по клинична патология</w:t>
            </w:r>
          </w:p>
        </w:tc>
      </w:tr>
      <w:tr w:rsidR="00F00EA2" w:rsidRPr="00471477" w:rsidTr="00C614C4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A2" w:rsidRPr="00471477" w:rsidRDefault="00F00EA2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7147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>лекари със специалност по гастроентерология</w:t>
      </w:r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525C90">
      <w:pPr>
        <w:spacing w:after="0" w:line="240" w:lineRule="auto"/>
        <w:ind w:left="540" w:hanging="11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BE615B">
      <w:pPr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>лекари със специалност по хирургия – минимум четирима;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лекар със специалност по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FE11B9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От работещите в структурата лекари-специалисти минимум един с квалификация по „Абдоминална Доплерова ехография – второ ниво“ или един специалист по </w:t>
      </w:r>
      <w:r w:rsidRPr="00471477">
        <w:rPr>
          <w:rFonts w:ascii="Arial" w:eastAsia="Times New Roman" w:hAnsi="Arial" w:cs="Times New Roman"/>
          <w:szCs w:val="20"/>
        </w:rPr>
        <w:lastRenderedPageBreak/>
        <w:t xml:space="preserve">конвенционална ехография и минимум един с квалификация по „Интервенционална гастроинтестинална ендоскопия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</w:t>
      </w:r>
      <w:r w:rsidRPr="00FE11B9">
        <w:rPr>
          <w:rFonts w:ascii="Arial" w:eastAsia="Times New Roman" w:hAnsi="Arial" w:cs="Arial"/>
          <w:color w:val="000000"/>
        </w:rPr>
        <w:t>Следдипломна квалификация” към Медицински университет или ВМА.</w:t>
      </w:r>
    </w:p>
    <w:p w:rsidR="00471477" w:rsidRPr="00FE11B9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FE11B9">
        <w:rPr>
          <w:rFonts w:ascii="Arial" w:eastAsia="Times New Roman" w:hAnsi="Arial" w:cs="Times New Roman"/>
          <w:szCs w:val="20"/>
        </w:rPr>
        <w:t>При анамнеза от страна</w:t>
      </w:r>
      <w:r w:rsidRPr="00FE11B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E11B9">
        <w:rPr>
          <w:rFonts w:ascii="Arial" w:eastAsia="Times New Roman" w:hAnsi="Arial" w:cs="Times New Roman"/>
          <w:szCs w:val="20"/>
        </w:rPr>
        <w:t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алергология.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със спешни състояния, с изразени отклонения в жизненоважни функции и системи или отклонения в биохимичните показатели, изискващи спешни реанимационни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изразен анемичен синдром, доказан лабораторно; болков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диференциална диагноза на онкологично заболяване на черния дроб, жлъчните пътища и панкреаса при клинични, рентгенологични,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комплекс от клинични симптоми и лабораторно или инструментално установени отклонения с предполагаем произход от хепатобилиарната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извънболнична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болни с известно заболяване на хепатобилиарната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 Ехография на коремни органи и ретроперитонеум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ендоскопия или контрастна рентгенография се извършват до 24 часа от постъпването. В случаи извън спешност горна ендоскопия или контрастна рентгенография се извършват до 3 ден от началото на хоспитализацията при минимален болничен престой. Контролни клинико-лабораторни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дехоспитализация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1. Клинико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хематологични показатели (хемоглобин, еритроцити, левкоцити, тромбоцити, Hct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клинично-химични показатели – общ белтък, албумин, кръвна захар, креатинин, </w:t>
      </w:r>
      <w:r w:rsidRPr="00471477">
        <w:rPr>
          <w:rFonts w:ascii="Arial" w:eastAsia="Times New Roman" w:hAnsi="Arial" w:cs="Times New Roman"/>
        </w:rPr>
        <w:lastRenderedPageBreak/>
        <w:t>урея, амилаза, липаза,билирубин – общ и директен, сер. желязо, ЖСК, АСАТ, АЛАТ, ГГТ, АФ, ЛДХ, Na, K, Cl, Са, Р, липиди,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хемостаза – фибриноген, протромбиново време (индекс, INR), при показания - АПТТ (пТПВ/ККВ),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r w:rsidRPr="00471477">
        <w:rPr>
          <w:rFonts w:ascii="Arial" w:eastAsia="Times New Roman" w:hAnsi="Arial" w:cs="Times New Roman"/>
          <w:szCs w:val="20"/>
        </w:rPr>
        <w:t>ретроперитонеум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Стандартно ендоскопско изследване на горния ГИТ и областта на papilla Vateri или място на инфилтрация, с или без ендоскопска биопсия, четкова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Стандартна парацентеза с биохимично и цитологично изследване на пунктат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паразитологични изследвания (биологични материали), </w:t>
      </w:r>
      <w:r w:rsidRPr="00471477">
        <w:rPr>
          <w:rFonts w:ascii="Arial" w:eastAsia="Times New Roman" w:hAnsi="Arial" w:cs="Times New Roman"/>
        </w:rPr>
        <w:t>имунологични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диагностициране на рак на ХБС, панкреаса и перитонеум е задължително извършването на предоперативно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ехография/КТ на малък таз; иригография или долна ендоскопия; КТ на бял дроб и медиастинум, главен мозък, кости, малък таз; очни дъна; сцинтиграфия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Решение за по-нататъшното поведение при диагностициран рак се взема съвместно от гастроентеролог, хирург, патолог, химио- и лъчетерапевт, а при показания и друг специалист (онкологичен комитет). Ако болният подлежи на оперативно лечение, лъче-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коагулационни нарушения, хипоалбуминемия,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лечение на основното заболяване и неговите усложнения - хепатопротектори, кортикостероиди, антибиотици, протеазни инхибитори, Н2-блокери, ИПП, холеретици, УДХК, кръвоспиращи, сомастостатин и аналози, заместителна терапия с ензимни препарати, спазмолитици,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сондово/ентерално/парентерално хранене;</w:t>
      </w:r>
    </w:p>
    <w:p w:rsidR="00471477" w:rsidRPr="00FE11B9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перкутанна </w:t>
      </w:r>
      <w:r w:rsidRPr="00FE11B9">
        <w:rPr>
          <w:rFonts w:ascii="Arial" w:eastAsia="Times New Roman" w:hAnsi="Arial" w:cs="Times New Roman"/>
          <w:szCs w:val="20"/>
        </w:rPr>
        <w:t>ендоскопска гастро-ентеростома.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FE11B9">
        <w:rPr>
          <w:rFonts w:ascii="Arial" w:eastAsia="Times New Roman" w:hAnsi="Arial" w:cs="Times New Roman"/>
          <w:b/>
          <w:szCs w:val="20"/>
        </w:rPr>
        <w:t xml:space="preserve">Терапевтична парацентеза </w:t>
      </w:r>
      <w:r w:rsidRPr="00FE11B9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FE11B9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E11B9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FE11B9">
        <w:rPr>
          <w:rFonts w:ascii="Arial" w:eastAsia="Times New Roman" w:hAnsi="Arial" w:cs="Times New Roman"/>
          <w:b/>
          <w:snapToGrid w:val="0"/>
          <w:szCs w:val="20"/>
        </w:rPr>
        <w:t>оперативно лечение.</w:t>
      </w:r>
    </w:p>
    <w:p w:rsidR="00607DFB" w:rsidRDefault="00607DFB" w:rsidP="00FE11B9">
      <w:pPr>
        <w:spacing w:after="0" w:line="240" w:lineRule="auto"/>
        <w:ind w:firstLine="567"/>
        <w:jc w:val="both"/>
        <w:rPr>
          <w:rFonts w:ascii="Arial" w:eastAsia="Calibri" w:hAnsi="Arial" w:cs="Arial"/>
          <w:b/>
          <w:lang w:val="en-US"/>
        </w:rPr>
      </w:pPr>
    </w:p>
    <w:p w:rsidR="00FE11B9" w:rsidRPr="00BA3DE0" w:rsidRDefault="00FE11B9" w:rsidP="00FE11B9">
      <w:pPr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FE11B9">
        <w:rPr>
          <w:rFonts w:ascii="Arial" w:eastAsia="Calibri" w:hAnsi="Arial" w:cs="Arial"/>
          <w:b/>
        </w:rPr>
        <w:t xml:space="preserve">Здравни грижи, </w:t>
      </w:r>
      <w:r w:rsidRPr="00BA3DE0">
        <w:rPr>
          <w:rFonts w:ascii="Arial" w:eastAsia="Calibri" w:hAnsi="Arial" w:cs="Arial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BA3DE0" w:rsidRPr="00BA3DE0">
        <w:rPr>
          <w:rFonts w:ascii="Arial" w:eastAsia="Calibri" w:hAnsi="Arial" w:cs="Arial"/>
        </w:rPr>
        <w:t>по назначение или самостоятелно</w:t>
      </w:r>
      <w:r w:rsidRPr="00BA3DE0">
        <w:rPr>
          <w:rFonts w:ascii="Arial" w:eastAsia="Calibri" w:hAnsi="Arial" w:cs="Arial"/>
          <w:lang w:val="x-none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Диагностични, лечебни и рехабилитационни дейности и услуги при дехоспитализацията</w:t>
      </w:r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(клинични/параклинични)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 възпалителни заболявания на жлъчния мехур - позитивна ехографска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</w:t>
      </w:r>
      <w:r w:rsidR="00BA3DE0">
        <w:rPr>
          <w:rFonts w:ascii="Arial" w:eastAsia="Times New Roman" w:hAnsi="Arial" w:cs="Arial"/>
        </w:rPr>
        <w:t>Наредба № 8 от 2016 г. за профилактичните прегледи и диспансеризацията</w:t>
      </w:r>
      <w:r w:rsidRPr="00471477">
        <w:rPr>
          <w:rFonts w:ascii="Arial" w:eastAsia="Times New Roman" w:hAnsi="Arial" w:cs="Times New Roman"/>
          <w:szCs w:val="20"/>
        </w:rPr>
        <w:t xml:space="preserve">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епикриза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дискомфорт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гастроентерологично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гастроентерологично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гастроентерологичното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рентгеново/скениращо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оглед на органите в корема с ехограф;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повърхностната обвивка на храносмилателната тръба с огъваема тръба с оптика (ендоскоп)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рентгенова снимка на жлъчните и панкреасните канали с оцветяване с контрастно вещество (въведено през отвора на дванадесетопръстника, където се излива жлъчката и панкреасния секрет) чрез ендоскоп – наречена ендоскопска ретроградна холангио-панкреатография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оглед на коремната кухина чрез тръба, наречена лапароскоп;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секрет или група клетки от определено място на черния дроб, задстомашната жлеза или другаде с много тънка специална игла под ехографски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>В някои случаи лечението се извършва под ехографски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дрениране на течни, некротични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други случаи лечението се извършва по ендоскопски път по време на ЕРХП – разрязване на гладкия мускул на отвора на дванадесетопръстника, където се изливат жлъчката и панкреасният секрет (сфинктеротомия), изваждане на камъни от жлъчните или панкреасни канали (ендоскопска екстракция) със/без предварителното им раздробяване с кошничка, подобно на лешник от лешникотрошачка (механична литотрипсия); разширяване на стеснени участъци с балони (балонна дилатация) и поставяне на протези (ендоскопско протезиране) или дрениране на жлъчка/панкреасен сок чрез поставяне на тънки пластмасови тръбички в жлъчните или панкреасните канали през носа (назо-билиарен или назо-панкреасен дренаж); спиране на кървене (ендоскопска хемостаза).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При някои кисти на задстомашната жлеза в близост до стената на стомаха се извършва дрениране чрез игла през ендоскопа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C4" w:rsidRDefault="00C614C4" w:rsidP="00BA0A51">
      <w:pPr>
        <w:spacing w:after="0" w:line="240" w:lineRule="auto"/>
      </w:pPr>
      <w:r>
        <w:separator/>
      </w:r>
    </w:p>
  </w:endnote>
  <w:endnote w:type="continuationSeparator" w:id="0">
    <w:p w:rsidR="00C614C4" w:rsidRDefault="00C614C4" w:rsidP="00BA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C4" w:rsidRDefault="00C614C4" w:rsidP="00BA0A51">
      <w:pPr>
        <w:spacing w:after="0" w:line="240" w:lineRule="auto"/>
      </w:pPr>
      <w:r>
        <w:separator/>
      </w:r>
    </w:p>
  </w:footnote>
  <w:footnote w:type="continuationSeparator" w:id="0">
    <w:p w:rsidR="00C614C4" w:rsidRDefault="00C614C4" w:rsidP="00BA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037664"/>
    <w:rsid w:val="001106AE"/>
    <w:rsid w:val="001853A3"/>
    <w:rsid w:val="00194188"/>
    <w:rsid w:val="001A0777"/>
    <w:rsid w:val="001A4C0F"/>
    <w:rsid w:val="001A7ED9"/>
    <w:rsid w:val="00221177"/>
    <w:rsid w:val="00262679"/>
    <w:rsid w:val="002B6F28"/>
    <w:rsid w:val="00325E06"/>
    <w:rsid w:val="003D299A"/>
    <w:rsid w:val="00471477"/>
    <w:rsid w:val="00485484"/>
    <w:rsid w:val="004A23DD"/>
    <w:rsid w:val="00525C90"/>
    <w:rsid w:val="00601F90"/>
    <w:rsid w:val="00607DFB"/>
    <w:rsid w:val="006B1913"/>
    <w:rsid w:val="00706684"/>
    <w:rsid w:val="00746AF2"/>
    <w:rsid w:val="00775102"/>
    <w:rsid w:val="00853ADF"/>
    <w:rsid w:val="008B0A41"/>
    <w:rsid w:val="0091606B"/>
    <w:rsid w:val="00966BEA"/>
    <w:rsid w:val="009A2081"/>
    <w:rsid w:val="009D3CED"/>
    <w:rsid w:val="00A6025A"/>
    <w:rsid w:val="00AB1AB8"/>
    <w:rsid w:val="00B316F2"/>
    <w:rsid w:val="00B34DD0"/>
    <w:rsid w:val="00B841BC"/>
    <w:rsid w:val="00B8685F"/>
    <w:rsid w:val="00BA0A51"/>
    <w:rsid w:val="00BA3DE0"/>
    <w:rsid w:val="00BE615B"/>
    <w:rsid w:val="00C614C4"/>
    <w:rsid w:val="00CB7AAD"/>
    <w:rsid w:val="00CC7736"/>
    <w:rsid w:val="00DB7DB7"/>
    <w:rsid w:val="00E45A77"/>
    <w:rsid w:val="00E735ED"/>
    <w:rsid w:val="00F00EA2"/>
    <w:rsid w:val="00FE11B9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51"/>
  </w:style>
  <w:style w:type="paragraph" w:styleId="Footer">
    <w:name w:val="footer"/>
    <w:basedOn w:val="Normal"/>
    <w:link w:val="Foot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51"/>
  </w:style>
  <w:style w:type="paragraph" w:styleId="BalloonText">
    <w:name w:val="Balloon Text"/>
    <w:basedOn w:val="Normal"/>
    <w:link w:val="BalloonTextChar"/>
    <w:uiPriority w:val="99"/>
    <w:semiHidden/>
    <w:unhideWhenUsed/>
    <w:rsid w:val="00BA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A51"/>
  </w:style>
  <w:style w:type="paragraph" w:styleId="Footer">
    <w:name w:val="footer"/>
    <w:basedOn w:val="Normal"/>
    <w:link w:val="FooterChar"/>
    <w:uiPriority w:val="99"/>
    <w:unhideWhenUsed/>
    <w:rsid w:val="00BA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A51"/>
  </w:style>
  <w:style w:type="paragraph" w:styleId="BalloonText">
    <w:name w:val="Balloon Text"/>
    <w:basedOn w:val="Normal"/>
    <w:link w:val="BalloonTextChar"/>
    <w:uiPriority w:val="99"/>
    <w:semiHidden/>
    <w:unhideWhenUsed/>
    <w:rsid w:val="00BA0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A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5352</Words>
  <Characters>30510</Characters>
  <Application>Microsoft Office Word</Application>
  <DocSecurity>0</DocSecurity>
  <Lines>254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Михаил Абрашев</cp:lastModifiedBy>
  <cp:revision>40</cp:revision>
  <cp:lastPrinted>2021-12-21T13:53:00Z</cp:lastPrinted>
  <dcterms:created xsi:type="dcterms:W3CDTF">2017-03-08T09:13:00Z</dcterms:created>
  <dcterms:modified xsi:type="dcterms:W3CDTF">2022-02-02T11:48:00Z</dcterms:modified>
</cp:coreProperties>
</file>