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A5" w:rsidRDefault="00D33DA5" w:rsidP="0021309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213095" w:rsidRPr="00FB6587" w:rsidRDefault="00471477" w:rsidP="00213095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AE7977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213095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панкреатит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ехинококоза,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F026A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026A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30668-00</w:t>
            </w:r>
            <w:r w:rsidRPr="00F026A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106AE" w:rsidRPr="00F026A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026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1106AE" w:rsidRPr="00F026A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F026A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026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1106AE" w:rsidRPr="00F026A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026A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026A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F026A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026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026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026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6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Тест за моторика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 мотилитетен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B63D24" w:rsidRDefault="00B63D24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Цитологично изследване на асцитна течност</w:t>
            </w:r>
          </w:p>
          <w:p w:rsidR="00D66B13" w:rsidRDefault="00D66B13" w:rsidP="00D66B13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D66B13" w:rsidRDefault="00D66B13" w:rsidP="00D66B13">
            <w:pPr>
              <w:pStyle w:val="SrgCod"/>
              <w:spacing w:line="240" w:lineRule="auto"/>
              <w:rPr>
                <w:lang w:val="en-US"/>
              </w:rPr>
            </w:pPr>
          </w:p>
          <w:p w:rsidR="00F20F60" w:rsidRDefault="00F20F60" w:rsidP="00D66B13">
            <w:pPr>
              <w:pStyle w:val="SrgCod"/>
              <w:spacing w:line="240" w:lineRule="auto"/>
              <w:rPr>
                <w:lang w:val="en-US"/>
              </w:rPr>
            </w:pPr>
          </w:p>
          <w:p w:rsidR="00F20F60" w:rsidRDefault="00F20F60" w:rsidP="00F20F60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F20F60" w:rsidRDefault="00F20F60" w:rsidP="00F20F60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F20F60" w:rsidRPr="00F20F60" w:rsidRDefault="00F20F60" w:rsidP="00D66B13">
            <w:pPr>
              <w:pStyle w:val="SrgCod"/>
              <w:spacing w:line="240" w:lineRule="auto"/>
              <w:rPr>
                <w:lang w:val="en-US"/>
              </w:rPr>
            </w:pPr>
          </w:p>
          <w:p w:rsidR="00D66B13" w:rsidRDefault="00D66B13" w:rsidP="00F20F60">
            <w:pPr>
              <w:pStyle w:val="Line1"/>
              <w:tabs>
                <w:tab w:val="left" w:pos="4945"/>
              </w:tabs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оментум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E45A77" w:rsidRPr="00FB5EB4" w:rsidRDefault="001106AE" w:rsidP="00495990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</w:p>
    <w:p w:rsidR="000C252D" w:rsidRDefault="000C252D" w:rsidP="000C252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  <w:lang w:val="en-US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96199-00</w:t>
      </w:r>
      <w:r w:rsidRPr="00485484">
        <w:rPr>
          <w:rFonts w:ascii="Arial" w:eastAsia="Times New Roman" w:hAnsi="Arial" w:cs="Times New Roman"/>
          <w:noProof/>
          <w:snapToGrid w:val="0"/>
          <w:szCs w:val="20"/>
        </w:rPr>
        <w:t xml:space="preserve"> и </w:t>
      </w:r>
      <w:r>
        <w:rPr>
          <w:rFonts w:ascii="Arial" w:eastAsia="Times New Roman" w:hAnsi="Arial" w:cs="Times New Roman"/>
          <w:noProof/>
          <w:snapToGrid w:val="0"/>
          <w:szCs w:val="20"/>
        </w:rPr>
        <w:t xml:space="preserve">96199-09 или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96200-09/96197-09, се кодират само при минимум тридневен курс на лечение, като в ИЗ се посочва вида, дозата и курса на лечение. 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При лица до 18 годишна възраст </w:t>
      </w:r>
      <w:r w:rsidRPr="00495990">
        <w:rPr>
          <w:rFonts w:ascii="Arial" w:eastAsia="Times New Roman" w:hAnsi="Arial" w:cs="Times New Roman"/>
          <w:b/>
          <w:szCs w:val="24"/>
        </w:rPr>
        <w:t>клиничната пътека се счита за завършена, ако са приложени и отчетени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 три диагностични процедур</w:t>
      </w:r>
      <w:r w:rsidR="000F0E57">
        <w:rPr>
          <w:rFonts w:ascii="Arial" w:eastAsia="Times New Roman" w:hAnsi="Arial" w:cs="Times New Roman"/>
          <w:b/>
          <w:snapToGrid w:val="0"/>
          <w:szCs w:val="20"/>
        </w:rPr>
        <w:t xml:space="preserve">и и две терапевтични </w:t>
      </w:r>
      <w:r w:rsidR="000F0E57">
        <w:rPr>
          <w:rFonts w:ascii="Arial" w:eastAsia="Times New Roman" w:hAnsi="Arial" w:cs="Times New Roman"/>
          <w:b/>
          <w:snapToGrid w:val="0"/>
          <w:szCs w:val="20"/>
        </w:rPr>
        <w:lastRenderedPageBreak/>
        <w:t xml:space="preserve">процедури, 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>от ко</w:t>
      </w:r>
      <w:r w:rsidR="000F0E57">
        <w:rPr>
          <w:rFonts w:ascii="Arial" w:eastAsia="Times New Roman" w:hAnsi="Arial" w:cs="Times New Roman"/>
          <w:b/>
          <w:snapToGrid w:val="0"/>
          <w:szCs w:val="20"/>
        </w:rPr>
        <w:t>и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>то</w:t>
      </w:r>
      <w:r w:rsidR="000C252D">
        <w:rPr>
          <w:rFonts w:ascii="Arial" w:eastAsia="Times New Roman" w:hAnsi="Arial" w:cs="Times New Roman"/>
          <w:b/>
          <w:snapToGrid w:val="0"/>
          <w:szCs w:val="20"/>
        </w:rPr>
        <w:t xml:space="preserve"> едната задължително е 96199-09 или 96200-09 или 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96197-09. Процедура </w:t>
      </w:r>
      <w:r w:rsidRPr="00495990">
        <w:rPr>
          <w:rFonts w:ascii="Arial" w:eastAsia="Times New Roman" w:hAnsi="Arial" w:cs="Times New Roman"/>
          <w:b/>
          <w:szCs w:val="20"/>
          <w:lang w:val="ru-RU"/>
        </w:rPr>
        <w:t>11700-00 не се изисква за пациенти под 18 год. възраст.</w:t>
      </w:r>
    </w:p>
    <w:p w:rsidR="00A306E0" w:rsidRPr="00A306E0" w:rsidRDefault="00A306E0" w:rsidP="00A306E0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EC08A7">
        <w:rPr>
          <w:noProof/>
        </w:rPr>
        <w:t xml:space="preserve">и 92191-00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327CBC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2E559F" w:rsidRPr="00FB5EB4" w:rsidRDefault="002E559F" w:rsidP="002E559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59F">
        <w:rPr>
          <w:rFonts w:ascii="Arial" w:eastAsia="Times New Roman" w:hAnsi="Arial" w:cs="Times New Roman"/>
          <w:noProof/>
          <w:snapToGrid w:val="0"/>
          <w:szCs w:val="20"/>
        </w:rPr>
        <w:t xml:space="preserve">При заболявания на жлъчния мехур КП се отчита с четири диагностични процедури </w:t>
      </w:r>
      <w:r w:rsidRPr="002E559F">
        <w:rPr>
          <w:rFonts w:ascii="Arial" w:eastAsia="Times New Roman" w:hAnsi="Arial" w:cs="Times New Roman"/>
          <w:noProof/>
          <w:snapToGrid w:val="0"/>
          <w:szCs w:val="20"/>
        </w:rPr>
        <w:t xml:space="preserve">с </w:t>
      </w:r>
      <w:r w:rsidRPr="002E559F">
        <w:rPr>
          <w:rFonts w:ascii="Arial" w:eastAsia="Times New Roman" w:hAnsi="Arial" w:cs="Times New Roman"/>
          <w:szCs w:val="20"/>
        </w:rPr>
        <w:t xml:space="preserve">кодове, посочени в блок 1932; </w:t>
      </w:r>
      <w:r w:rsidRPr="002E559F">
        <w:rPr>
          <w:rFonts w:ascii="Arial" w:eastAsia="Times New Roman" w:hAnsi="Arial" w:cs="Times New Roman"/>
          <w:szCs w:val="20"/>
        </w:rPr>
        <w:t xml:space="preserve">с </w:t>
      </w:r>
      <w:r w:rsidRPr="002E559F">
        <w:rPr>
          <w:rFonts w:ascii="Arial" w:eastAsia="Times New Roman" w:hAnsi="Arial" w:cs="Arial"/>
        </w:rPr>
        <w:t>кодове, посочени в блок 1923 и блок 1924</w:t>
      </w:r>
      <w:r>
        <w:rPr>
          <w:rFonts w:ascii="Arial" w:eastAsia="Times New Roman" w:hAnsi="Arial" w:cs="Arial"/>
        </w:rPr>
        <w:t>;</w:t>
      </w:r>
      <w:r w:rsidRPr="002E559F">
        <w:rPr>
          <w:rFonts w:ascii="Arial" w:eastAsia="Times New Roman" w:hAnsi="Arial" w:cs="Arial"/>
        </w:rPr>
        <w:t xml:space="preserve"> </w:t>
      </w:r>
      <w:r w:rsidRPr="002E559F">
        <w:rPr>
          <w:rFonts w:ascii="Arial" w:eastAsia="Times New Roman" w:hAnsi="Arial" w:cs="Times New Roman"/>
          <w:szCs w:val="20"/>
        </w:rPr>
        <w:t>11700-00</w:t>
      </w:r>
      <w:r w:rsidRPr="002E559F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2E559F">
        <w:rPr>
          <w:rFonts w:ascii="Arial" w:eastAsia="Times New Roman" w:hAnsi="Arial" w:cs="Times New Roman"/>
          <w:noProof/>
          <w:snapToGrid w:val="0"/>
          <w:szCs w:val="20"/>
        </w:rPr>
        <w:t>, като ендоскопска процедура не е необходима.</w:t>
      </w:r>
      <w:bookmarkStart w:id="0" w:name="_GoBack"/>
      <w:bookmarkEnd w:id="0"/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</w:t>
      </w:r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lastRenderedPageBreak/>
        <w:t>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246B5F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246B5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246B5F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7147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r w:rsidRPr="00471477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471477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21309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246B5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46B5F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B5F" w:rsidRPr="00471477" w:rsidRDefault="00246B5F" w:rsidP="00246B5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471477" w:rsidRPr="00471477" w:rsidRDefault="00471477" w:rsidP="00B316F2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471477" w:rsidRPr="00471477" w:rsidRDefault="00471477" w:rsidP="00471477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246B5F" w:rsidRDefault="00471477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анамнеза от страна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1. Клинико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хемостаза – фибриноген, протромбиново време (индекс, INR), при показания - </w:t>
      </w:r>
      <w:r w:rsidRPr="00471477">
        <w:rPr>
          <w:rFonts w:ascii="Arial" w:eastAsia="Times New Roman" w:hAnsi="Arial" w:cs="Times New Roman"/>
        </w:rPr>
        <w:lastRenderedPageBreak/>
        <w:t>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други терапевтични процедури – промивка през сонда или перкутанна ендоскопска гастро-ентеростома.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807AE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807AE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807AE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7752BB" w:rsidRDefault="007752BB" w:rsidP="00807AE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807AE9" w:rsidRPr="00667D8D" w:rsidRDefault="00807AE9" w:rsidP="00807AE9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07AE9">
        <w:rPr>
          <w:rFonts w:ascii="Arial" w:eastAsia="Calibri" w:hAnsi="Arial" w:cs="Arial"/>
          <w:b/>
        </w:rPr>
        <w:t xml:space="preserve">Здравни грижи, </w:t>
      </w:r>
      <w:r w:rsidRPr="00667D8D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7D8D" w:rsidRPr="00667D8D">
        <w:rPr>
          <w:rFonts w:ascii="Arial" w:eastAsia="Calibri" w:hAnsi="Arial" w:cs="Arial"/>
        </w:rPr>
        <w:t>по назначение или самостоятелно</w:t>
      </w:r>
      <w:r w:rsidRPr="00667D8D">
        <w:rPr>
          <w:rFonts w:ascii="Arial" w:eastAsia="Calibri" w:hAnsi="Arial" w:cs="Arial"/>
          <w:lang w:val="x-none"/>
        </w:rPr>
        <w:t>.</w:t>
      </w:r>
    </w:p>
    <w:p w:rsidR="00471477" w:rsidRPr="00807AE9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807AE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07AE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807AE9">
        <w:rPr>
          <w:rFonts w:ascii="Arial" w:eastAsia="Times New Roman" w:hAnsi="Arial" w:cs="Times New Roman"/>
          <w:b/>
          <w:noProof/>
          <w:szCs w:val="20"/>
        </w:rPr>
        <w:t>ПРАВАТА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5D0E54" w:rsidRPr="005D0E54" w:rsidRDefault="005D0E54" w:rsidP="005D0E54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5D0E54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667D8D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7147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070E75"/>
    <w:rsid w:val="000C252D"/>
    <w:rsid w:val="000F0E57"/>
    <w:rsid w:val="001106AE"/>
    <w:rsid w:val="001373D1"/>
    <w:rsid w:val="001853A3"/>
    <w:rsid w:val="001A0777"/>
    <w:rsid w:val="001A2360"/>
    <w:rsid w:val="001A7ED9"/>
    <w:rsid w:val="00213095"/>
    <w:rsid w:val="00246B5F"/>
    <w:rsid w:val="002B6F28"/>
    <w:rsid w:val="002E559F"/>
    <w:rsid w:val="00327CBC"/>
    <w:rsid w:val="00471477"/>
    <w:rsid w:val="00495990"/>
    <w:rsid w:val="00525C90"/>
    <w:rsid w:val="005D0E54"/>
    <w:rsid w:val="005D35B7"/>
    <w:rsid w:val="005E7CF5"/>
    <w:rsid w:val="00667D8D"/>
    <w:rsid w:val="006C0999"/>
    <w:rsid w:val="00706684"/>
    <w:rsid w:val="00773DFA"/>
    <w:rsid w:val="00775102"/>
    <w:rsid w:val="007752BB"/>
    <w:rsid w:val="00807AE9"/>
    <w:rsid w:val="009877F9"/>
    <w:rsid w:val="009D3CED"/>
    <w:rsid w:val="00A306E0"/>
    <w:rsid w:val="00A6025A"/>
    <w:rsid w:val="00AB1AB8"/>
    <w:rsid w:val="00AE7977"/>
    <w:rsid w:val="00AF4F8E"/>
    <w:rsid w:val="00B316F2"/>
    <w:rsid w:val="00B34DD0"/>
    <w:rsid w:val="00B63D24"/>
    <w:rsid w:val="00BE615B"/>
    <w:rsid w:val="00C42C63"/>
    <w:rsid w:val="00D33DA5"/>
    <w:rsid w:val="00D66B13"/>
    <w:rsid w:val="00DB7DB7"/>
    <w:rsid w:val="00E45A77"/>
    <w:rsid w:val="00E94F69"/>
    <w:rsid w:val="00EC08A7"/>
    <w:rsid w:val="00F026A7"/>
    <w:rsid w:val="00F20F6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5319</Words>
  <Characters>30320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36</cp:revision>
  <dcterms:created xsi:type="dcterms:W3CDTF">2019-05-17T08:09:00Z</dcterms:created>
  <dcterms:modified xsi:type="dcterms:W3CDTF">2022-03-25T11:51:00Z</dcterms:modified>
</cp:coreProperties>
</file>