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101 ДИАГНОСТИКА И ЛЕЧЕНИЕ НА остър вирусен хепатит "В", "С"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</w:rPr>
        <w:t xml:space="preserve"> и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 xml:space="preserve"> "d"</w:t>
      </w:r>
    </w:p>
    <w:p w:rsidR="00FD744B" w:rsidRPr="00FD744B" w:rsidRDefault="00FD744B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</w:p>
    <w:p w:rsidR="009365EF" w:rsidRPr="009365EF" w:rsidRDefault="009A1357" w:rsidP="009365E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>
        <w:rPr>
          <w:rFonts w:ascii="Arial" w:eastAsia="Times New Roman" w:hAnsi="Arial" w:cs="Arial"/>
          <w:sz w:val="28"/>
          <w:szCs w:val="20"/>
          <w:lang w:val="en-US" w:eastAsia="bg-BG"/>
        </w:rPr>
        <w:t>1</w:t>
      </w:r>
      <w:r>
        <w:rPr>
          <w:rFonts w:ascii="Arial" w:eastAsia="Times New Roman" w:hAnsi="Arial" w:cs="Arial"/>
          <w:sz w:val="28"/>
          <w:szCs w:val="20"/>
          <w:lang w:eastAsia="bg-BG"/>
        </w:rPr>
        <w:t>.</w:t>
      </w:r>
      <w:r w:rsidR="009365EF" w:rsidRPr="009365EF">
        <w:rPr>
          <w:rFonts w:ascii="Arial" w:eastAsia="Times New Roman" w:hAnsi="Arial" w:cs="Arial"/>
          <w:sz w:val="28"/>
          <w:szCs w:val="20"/>
          <w:lang w:eastAsia="bg-BG"/>
        </w:rPr>
        <w:t>Минимален болничен престой - 5</w:t>
      </w:r>
      <w:r w:rsidR="009365EF" w:rsidRPr="009365EF">
        <w:rPr>
          <w:rFonts w:ascii="Arial" w:eastAsia="Times New Roman" w:hAnsi="Arial" w:cs="Arial"/>
          <w:sz w:val="28"/>
          <w:szCs w:val="28"/>
          <w:lang w:eastAsia="bg-BG"/>
        </w:rPr>
        <w:t xml:space="preserve"> </w:t>
      </w:r>
      <w:r w:rsidR="009365EF" w:rsidRPr="009365EF">
        <w:rPr>
          <w:rFonts w:ascii="Arial" w:eastAsia="Times New Roman" w:hAnsi="Arial" w:cs="Arial"/>
          <w:sz w:val="28"/>
          <w:szCs w:val="20"/>
          <w:lang w:eastAsia="bg-BG"/>
        </w:rPr>
        <w:t>дни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  <w:r w:rsidRPr="009365EF">
        <w:rPr>
          <w:rFonts w:ascii="Arial" w:eastAsia="Times New Roman" w:hAnsi="Arial" w:cs="Times New Roman"/>
          <w:sz w:val="28"/>
          <w:szCs w:val="20"/>
        </w:rPr>
        <w:t>При хепатална кома – 2 дни</w:t>
      </w:r>
    </w:p>
    <w:p w:rsidR="000B139C" w:rsidRPr="009365EF" w:rsidRDefault="000B139C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365EF" w:rsidRPr="009365EF" w:rsidRDefault="009A1357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i/>
          <w:spacing w:val="20"/>
          <w:sz w:val="28"/>
          <w:szCs w:val="28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2.1. </w:t>
      </w:r>
      <w:r w:rsidR="009365EF" w:rsidRPr="009365EF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="009365EF" w:rsidRPr="009365E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365EF" w:rsidRPr="009365EF" w:rsidTr="002708E9">
        <w:trPr>
          <w:jc w:val="center"/>
        </w:trPr>
        <w:tc>
          <w:tcPr>
            <w:tcW w:w="9606" w:type="dxa"/>
          </w:tcPr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 хепатит В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с делта-агент (коинфекция) с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с делта-агент (коинфекция)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В16.2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без делта-агент с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В16.9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без делта агент и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  <w:t>Хепатит В (остър)(вирусен) БДУ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 остри вирусни хепатити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Остра делта-(супер)инфекция при хепатит В носителство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С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Вирусен хепатит, неуточнен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В19.0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Неуточнен вирусен хепатит с хепатална кома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319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В19.9</w:t>
            </w: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    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Неуточнен вирусен хепатит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F437BA" w:rsidRPr="00F437BA" w:rsidRDefault="00F437BA" w:rsidP="00F437B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 w:rsidRPr="00F437BA">
        <w:rPr>
          <w:rFonts w:ascii="Arial" w:eastAsia="Times New Roman" w:hAnsi="Arial" w:cs="Times New Roman"/>
          <w:b/>
          <w:noProof/>
          <w:szCs w:val="20"/>
          <w:lang w:val="en-US"/>
        </w:rPr>
        <w:t>2.2. ОСНОВНИ ДИАГНОСТИЧНИ ПРОЦЕДУРИ (ВКЛЮЧИТЕЛНО ПРИЛОЖЕНИЯ № 21 И №23)</w:t>
      </w:r>
    </w:p>
    <w:p w:rsidR="00F437BA" w:rsidRDefault="00F437BA" w:rsidP="00F437B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 w:rsidRPr="00F437BA">
        <w:rPr>
          <w:rFonts w:ascii="Arial" w:eastAsia="Times New Roman" w:hAnsi="Arial" w:cs="Times New Roman"/>
          <w:b/>
          <w:noProof/>
          <w:szCs w:val="20"/>
          <w:lang w:val="en-US"/>
        </w:rPr>
        <w:t>2.3. ТЕРАПЕВТИЧНИ ПРОЦЕДУРИ (ПРИЛОЖЕНИЕ № 22)</w:t>
      </w:r>
    </w:p>
    <w:p w:rsidR="00F437BA" w:rsidRDefault="00F437BA" w:rsidP="004C322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4C3223" w:rsidRDefault="004C3223" w:rsidP="004C322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C3223">
        <w:rPr>
          <w:rFonts w:ascii="Arial" w:eastAsia="Times New Roman" w:hAnsi="Arial" w:cs="Times New Roman"/>
          <w:b/>
          <w:szCs w:val="20"/>
        </w:rPr>
        <w:t>Изискване</w:t>
      </w:r>
      <w:r w:rsidRPr="00D13AD6">
        <w:rPr>
          <w:rFonts w:ascii="Arial" w:eastAsia="Times New Roman" w:hAnsi="Arial" w:cs="Times New Roman"/>
          <w:b/>
          <w:szCs w:val="20"/>
        </w:rPr>
        <w:t>:</w:t>
      </w:r>
      <w:r w:rsidRPr="00D13AD6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диагностични, </w:t>
      </w:r>
      <w:r w:rsidRPr="00D13AD6">
        <w:rPr>
          <w:rFonts w:ascii="Arial" w:eastAsia="Calibri" w:hAnsi="Arial" w:cs="Arial"/>
        </w:rPr>
        <w:t xml:space="preserve">което задължително включва: ПКК </w:t>
      </w:r>
      <w:r w:rsidRPr="00D13AD6">
        <w:rPr>
          <w:rFonts w:ascii="Arial" w:eastAsia="Calibri" w:hAnsi="Arial" w:cs="Arial"/>
          <w:lang w:val="en-US"/>
        </w:rPr>
        <w:t>(91910-04)</w:t>
      </w:r>
      <w:r w:rsidR="00B703A1">
        <w:rPr>
          <w:rFonts w:ascii="Arial" w:eastAsia="Calibri" w:hAnsi="Arial" w:cs="Arial"/>
        </w:rPr>
        <w:t xml:space="preserve">, биохимия (91910-15, </w:t>
      </w:r>
      <w:r w:rsidRPr="00D13AD6">
        <w:rPr>
          <w:rFonts w:ascii="Arial" w:eastAsia="Calibri" w:hAnsi="Arial" w:cs="Arial"/>
        </w:rPr>
        <w:t>91910-16,</w:t>
      </w:r>
      <w:r w:rsidRPr="00D13AD6">
        <w:rPr>
          <w:rFonts w:ascii="Arial" w:eastAsia="Calibri" w:hAnsi="Arial" w:cs="Arial"/>
          <w:lang w:val="en-US"/>
        </w:rPr>
        <w:t xml:space="preserve"> </w:t>
      </w:r>
      <w:r w:rsidRPr="00D13AD6">
        <w:rPr>
          <w:rFonts w:ascii="Arial" w:eastAsia="Calibri" w:hAnsi="Arial" w:cs="Arial"/>
        </w:rPr>
        <w:t>91910-26, 91910-27</w:t>
      </w:r>
      <w:r w:rsidRPr="00D13AD6">
        <w:rPr>
          <w:rFonts w:ascii="Arial" w:eastAsia="Calibri" w:hAnsi="Arial" w:cs="Arial"/>
          <w:lang w:val="en-US"/>
        </w:rPr>
        <w:t xml:space="preserve">) </w:t>
      </w:r>
      <w:r w:rsidRPr="00D13AD6">
        <w:rPr>
          <w:rFonts w:ascii="Arial" w:eastAsia="Times New Roman" w:hAnsi="Arial" w:cs="Times New Roman"/>
          <w:szCs w:val="20"/>
        </w:rPr>
        <w:t xml:space="preserve">и една основна терапевтична процедури, посочени в таблица </w:t>
      </w:r>
      <w:r w:rsidRPr="00D13AD6">
        <w:rPr>
          <w:rFonts w:ascii="Arial" w:eastAsia="Times New Roman" w:hAnsi="Arial" w:cs="Times New Roman"/>
          <w:b/>
          <w:szCs w:val="20"/>
        </w:rPr>
        <w:t xml:space="preserve">Кодове на основни процедури. </w:t>
      </w:r>
    </w:p>
    <w:p w:rsidR="00B65392" w:rsidRPr="000E1423" w:rsidRDefault="00B65392" w:rsidP="00B653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0E142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0E142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E142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65392" w:rsidRPr="00B65392" w:rsidRDefault="00B65392" w:rsidP="004C322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642245" w:rsidRPr="00D13AD6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D13AD6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D13AD6">
        <w:rPr>
          <w:rFonts w:ascii="Arial" w:eastAsia="Times New Roman" w:hAnsi="Arial" w:cs="Times New Roman"/>
          <w:szCs w:val="20"/>
        </w:rPr>
        <w:t>.</w:t>
      </w:r>
    </w:p>
    <w:p w:rsidR="00642245" w:rsidRPr="00D13AD6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noProof/>
          <w:szCs w:val="20"/>
        </w:rPr>
      </w:pPr>
      <w:r w:rsidRPr="00D13AD6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642245" w:rsidRPr="000E1423" w:rsidRDefault="00642245" w:rsidP="0064224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D13AD6">
        <w:rPr>
          <w:rFonts w:ascii="Arial" w:eastAsia="Times New Roman" w:hAnsi="Arial" w:cs="Times New Roman"/>
          <w:szCs w:val="20"/>
        </w:rPr>
        <w:t>При клинично доказан риск от хронифициране на</w:t>
      </w:r>
      <w:r w:rsidRPr="000E1423">
        <w:rPr>
          <w:rFonts w:ascii="Arial" w:eastAsia="Times New Roman" w:hAnsi="Arial" w:cs="Times New Roman"/>
          <w:szCs w:val="20"/>
        </w:rPr>
        <w:t xml:space="preserve"> хепатит тип С се извършва и молекулярно-генетична диагностика.</w:t>
      </w:r>
    </w:p>
    <w:p w:rsidR="009365EF" w:rsidRPr="002B35B3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8D3616" w:rsidRPr="002B35B3" w:rsidRDefault="008D3616" w:rsidP="008D3616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2B35B3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2B35B3">
        <w:rPr>
          <w:rFonts w:ascii="Arial" w:eastAsia="Calibri" w:hAnsi="Arial" w:cs="Times New Roman"/>
          <w:szCs w:val="20"/>
        </w:rPr>
        <w:t>92191-00 или</w:t>
      </w:r>
      <w:r w:rsidRPr="002B35B3">
        <w:rPr>
          <w:rFonts w:ascii="Arial" w:eastAsia="Calibri" w:hAnsi="Arial" w:cs="Times New Roman"/>
          <w:noProof/>
          <w:szCs w:val="20"/>
        </w:rPr>
        <w:t xml:space="preserve"> </w:t>
      </w:r>
      <w:r w:rsidRPr="002B35B3">
        <w:rPr>
          <w:rFonts w:ascii="Arial" w:eastAsia="Calibri" w:hAnsi="Arial" w:cs="Times New Roman"/>
          <w:szCs w:val="20"/>
        </w:rPr>
        <w:t xml:space="preserve">92191-01 </w:t>
      </w:r>
      <w:r w:rsidRPr="002B35B3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2B35B3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2B35B3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665B04" w:rsidRPr="002B35B3" w:rsidRDefault="00665B04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622B85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  <w:r w:rsidRPr="009365EF">
        <w:rPr>
          <w:rFonts w:ascii="Arial" w:eastAsia="Times New Roman" w:hAnsi="Arial" w:cs="Times New Roman"/>
          <w:b/>
          <w:szCs w:val="24"/>
        </w:rPr>
        <w:br w:type="page"/>
      </w:r>
      <w:r w:rsidR="009A1357" w:rsidRPr="00622B85">
        <w:rPr>
          <w:rFonts w:ascii="Arial" w:eastAsia="Times New Roman" w:hAnsi="Arial" w:cs="Arial"/>
          <w:b/>
          <w:noProof/>
          <w:szCs w:val="20"/>
        </w:rPr>
        <w:lastRenderedPageBreak/>
        <w:t>4)</w:t>
      </w:r>
      <w:r w:rsidRPr="00622B85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622B85">
        <w:rPr>
          <w:rFonts w:ascii="Arial" w:eastAsia="Times New Roman" w:hAnsi="Arial" w:cs="Times New Roman"/>
          <w:b/>
          <w:szCs w:val="24"/>
        </w:rPr>
        <w:t xml:space="preserve">УСЛОВИЯ ЗА СКЛЮЧВАНЕ НА ДОГОВОР И ЗА ИЗПЪЛНЕНИЕ НА КЛИНИЧНАТА ПЪТЕКА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9365E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 лечението на болни с кодове по МКБ-10 В16.0 и В16.2.</w:t>
      </w:r>
      <w:r w:rsidRPr="009365EF">
        <w:rPr>
          <w:rFonts w:ascii="Arial" w:eastAsia="Times New Roman" w:hAnsi="Arial" w:cs="Arial"/>
          <w:b/>
          <w:lang w:val="ru-RU"/>
        </w:rPr>
        <w:t xml:space="preserve"> </w:t>
      </w:r>
      <w:r w:rsidRPr="009365EF">
        <w:rPr>
          <w:rFonts w:ascii="Arial" w:eastAsia="Times New Roman" w:hAnsi="Arial" w:cs="Times New Roman"/>
          <w:szCs w:val="24"/>
        </w:rPr>
        <w:t xml:space="preserve"> </w:t>
      </w:r>
      <w:r w:rsidRPr="009365E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9365EF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365EF" w:rsidRPr="009365EF" w:rsidRDefault="009A1357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Arial"/>
          <w:b/>
          <w:noProof/>
          <w:szCs w:val="20"/>
        </w:rPr>
        <w:t>4а)</w:t>
      </w:r>
      <w:r w:rsidR="009365EF" w:rsidRPr="009365EF">
        <w:rPr>
          <w:rFonts w:ascii="Arial" w:eastAsia="Times New Roman" w:hAnsi="Arial" w:cs="Times New Roman"/>
          <w:b/>
          <w:noProof/>
          <w:szCs w:val="20"/>
        </w:rPr>
        <w:t xml:space="preserve"> ЗАДЪЛЖИТЕЛНИ ЗВЕНА, МЕДИЦИНСКА АПАРАТУРА И ОБОРУДВАНЕ, НАЛИЧНИ И ФУНКЦИОНИРАЩИ НА ТЕРИТОРИЯТА НА ЛЕЧЕБНОТО ЗАВЕДЕНИЕ,</w:t>
      </w:r>
      <w:r w:rsidR="009365EF" w:rsidRPr="009365E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9365E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9365EF">
        <w:rPr>
          <w:rFonts w:ascii="Arial" w:eastAsia="Times New Roman" w:hAnsi="Arial" w:cs="Times New Roman"/>
        </w:rPr>
        <w:t>извънболнична или болнична помощ</w:t>
      </w:r>
      <w:r w:rsidRPr="009365EF">
        <w:rPr>
          <w:rFonts w:ascii="Arial" w:eastAsia="Times New Roman" w:hAnsi="Arial" w:cs="Times New Roman"/>
          <w:noProof/>
        </w:rPr>
        <w:t>, разположено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9365E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4F2FD2" w:rsidRPr="009365EF" w:rsidRDefault="004F2FD2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365EF" w:rsidRPr="009365EF" w:rsidTr="00080857">
        <w:trPr>
          <w:jc w:val="center"/>
        </w:trPr>
        <w:tc>
          <w:tcPr>
            <w:tcW w:w="9200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numPr>
                <w:ilvl w:val="0"/>
                <w:numId w:val="4"/>
              </w:numPr>
              <w:tabs>
                <w:tab w:val="num" w:pos="251"/>
              </w:tabs>
              <w:spacing w:after="0" w:line="240" w:lineRule="auto"/>
              <w:ind w:left="611" w:hanging="54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Клиника/отделение по инфекциозни болести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71" w:firstLine="18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или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 клиника/отделение - за новородени до 28-ия ден след раждането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9365E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365EF" w:rsidRPr="009365EF" w:rsidRDefault="009A1357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>
        <w:rPr>
          <w:rFonts w:ascii="Arial" w:eastAsia="Times New Roman" w:hAnsi="Arial" w:cs="Arial"/>
          <w:b/>
          <w:noProof/>
          <w:szCs w:val="20"/>
        </w:rPr>
        <w:t>4а)</w:t>
      </w:r>
      <w:r w:rsidR="009365EF" w:rsidRPr="009365EF">
        <w:rPr>
          <w:rFonts w:ascii="Arial" w:eastAsia="Times New Roman" w:hAnsi="Arial" w:cs="Arial"/>
          <w:b/>
          <w:bCs/>
          <w:noProof/>
          <w:lang w:val="ru-RU" w:eastAsia="bg-BG"/>
        </w:rPr>
        <w:t xml:space="preserve"> </w:t>
      </w:r>
      <w:r w:rsidR="009365EF" w:rsidRPr="009365EF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9365EF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9365EF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4F2FD2" w:rsidRPr="009365EF" w:rsidRDefault="004F2FD2" w:rsidP="009365EF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2. Клинична патология – на територията на областта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Микробиологична лаборатория 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9365E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365EF" w:rsidRPr="00D76D25" w:rsidRDefault="001A4FFA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  <w:szCs w:val="20"/>
          <w:lang w:val="en-US"/>
        </w:rPr>
        <w:t>4</w:t>
      </w:r>
      <w:r w:rsidR="009A1357">
        <w:rPr>
          <w:rFonts w:ascii="Arial" w:eastAsia="Times New Roman" w:hAnsi="Arial" w:cs="Arial"/>
          <w:b/>
          <w:noProof/>
          <w:szCs w:val="20"/>
        </w:rPr>
        <w:t>б)</w:t>
      </w:r>
      <w:r w:rsidR="009365EF" w:rsidRPr="009365EF">
        <w:rPr>
          <w:rFonts w:ascii="Arial" w:eastAsia="Times New Roman" w:hAnsi="Arial" w:cs="Times New Roman"/>
          <w:b/>
          <w:noProof/>
        </w:rPr>
        <w:t xml:space="preserve"> </w:t>
      </w:r>
      <w:r w:rsidR="009365EF" w:rsidRPr="009365E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="00D76D25">
        <w:rPr>
          <w:rFonts w:ascii="Arial" w:eastAsia="Times New Roman" w:hAnsi="Arial" w:cs="Times New Roman"/>
          <w:b/>
          <w:noProof/>
          <w:lang w:val="en-US"/>
        </w:rPr>
        <w:t xml:space="preserve"> </w:t>
      </w:r>
      <w:r w:rsidR="00D76D25" w:rsidRPr="00D76D25">
        <w:rPr>
          <w:rFonts w:ascii="Arial" w:eastAsia="Times New Roman" w:hAnsi="Arial" w:cs="Times New Roman"/>
          <w:b/>
          <w:noProof/>
          <w:lang w:val="en-US"/>
        </w:rPr>
        <w:t>И ИЗИСКВАН</w:t>
      </w:r>
      <w:r w:rsidR="00D76D25">
        <w:rPr>
          <w:rFonts w:ascii="Arial" w:eastAsia="Times New Roman" w:hAnsi="Arial" w:cs="Times New Roman"/>
          <w:b/>
          <w:noProof/>
          <w:lang w:val="en-US"/>
        </w:rPr>
        <w:t>ИЯ ЗА ДОПЪЛНИТЕЛНА КВАЛИФИКАЦИЯ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Необходими специалисти за лечение на пациенти на възраст </w:t>
      </w:r>
      <w:r w:rsidRPr="009365EF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“Неонатология”):</w:t>
      </w:r>
    </w:p>
    <w:p w:rsidR="009365EF" w:rsidRPr="009365EF" w:rsidRDefault="009365EF" w:rsidP="009365EF">
      <w:pPr>
        <w:keepNext/>
        <w:keepLines/>
        <w:tabs>
          <w:tab w:val="left" w:pos="993"/>
          <w:tab w:val="left" w:pos="1134"/>
        </w:tabs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неонатология при задължително документирана консултация с инфекционист;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9365EF">
        <w:rPr>
          <w:rFonts w:ascii="Arial" w:eastAsia="Times New Roman" w:hAnsi="Arial" w:cs="Times New Roman"/>
          <w:b/>
          <w:szCs w:val="20"/>
        </w:rPr>
        <w:t xml:space="preserve">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ru-RU" w:eastAsia="bg-BG"/>
        </w:rPr>
      </w:pPr>
      <w:r w:rsidRPr="009365EF">
        <w:rPr>
          <w:rFonts w:ascii="Arial" w:eastAsia="Times New Roman" w:hAnsi="Arial" w:cs="Arial"/>
          <w:noProof/>
          <w:lang w:val="ru-RU" w:eastAsia="bg-BG"/>
        </w:rPr>
        <w:t>Болни с остър вирусен хепатит B, C и D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622B85" w:rsidRDefault="009A1357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5</w:t>
      </w:r>
      <w:r w:rsidR="009365EF" w:rsidRPr="00622B85">
        <w:rPr>
          <w:rFonts w:ascii="Arial" w:eastAsia="Times New Roman" w:hAnsi="Arial" w:cs="Times New Roman"/>
          <w:b/>
          <w:noProof/>
          <w:szCs w:val="20"/>
        </w:rPr>
        <w:t>. ИНДИКАЦИИ ЗА ХОСПИТАЛИЗАЦИЯ И ЛЕЧЕНИЕ</w:t>
      </w:r>
    </w:p>
    <w:p w:rsidR="009365EF" w:rsidRPr="009365EF" w:rsidRDefault="001A4FFA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Arial"/>
          <w:b/>
          <w:noProof/>
          <w:szCs w:val="20"/>
          <w:lang w:val="en-US"/>
        </w:rPr>
        <w:t>5</w:t>
      </w:r>
      <w:r w:rsidR="009A1357">
        <w:rPr>
          <w:rFonts w:ascii="Arial" w:eastAsia="Times New Roman" w:hAnsi="Arial" w:cs="Arial"/>
          <w:b/>
          <w:noProof/>
          <w:szCs w:val="20"/>
        </w:rPr>
        <w:t xml:space="preserve">а) </w:t>
      </w:r>
      <w:r w:rsidR="009365EF" w:rsidRPr="009365EF">
        <w:rPr>
          <w:rFonts w:ascii="Arial" w:eastAsia="Times New Roman" w:hAnsi="Arial" w:cs="Times New Roman"/>
          <w:b/>
          <w:noProof/>
          <w:szCs w:val="20"/>
        </w:rPr>
        <w:t>ИНДИКАЦИИ ЗА ХОСПИТАЛИЗАЦИЯ.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Arial"/>
          <w:b/>
          <w:lang w:eastAsia="bg-BG"/>
        </w:rPr>
        <w:t>Диагностика и лечение на пациенти с данни за остър вирусен хепатит B, C и D при:</w:t>
      </w:r>
    </w:p>
    <w:p w:rsidR="009365EF" w:rsidRPr="002708E9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2708E9">
        <w:rPr>
          <w:rFonts w:ascii="Arial" w:eastAsia="Times New Roman" w:hAnsi="Arial" w:cs="Times New Roman"/>
          <w:szCs w:val="20"/>
        </w:rPr>
        <w:t>тежък астено-адинамичен синдром, придружен от повръщане, главоболие и болки в дясното подребрие;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наличие на хеморагии по кожата и от гастроинтестиналния тракт;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енцефалопатия и количествени промени в съзнанието;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при наличие на решут при остър вирусен хепатит В в рамките на един месец, е възможна повторна хоспитализация в същия отчетен период (стойности на АЛАТ </w:t>
      </w:r>
      <w:r w:rsidRPr="009365EF">
        <w:rPr>
          <w:rFonts w:ascii="Arial" w:eastAsia="Times New Roman" w:hAnsi="Arial" w:cs="Arial"/>
          <w:szCs w:val="20"/>
        </w:rPr>
        <w:t>≥</w:t>
      </w:r>
      <w:r w:rsidRPr="009365EF">
        <w:rPr>
          <w:rFonts w:ascii="Arial" w:eastAsia="Times New Roman" w:hAnsi="Arial" w:cs="Times New Roman"/>
          <w:szCs w:val="20"/>
        </w:rPr>
        <w:t xml:space="preserve"> 1000 ме).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1A4FFA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Arial"/>
          <w:b/>
          <w:noProof/>
          <w:szCs w:val="20"/>
          <w:lang w:val="en-US"/>
        </w:rPr>
        <w:t>5</w:t>
      </w:r>
      <w:bookmarkStart w:id="0" w:name="_GoBack"/>
      <w:bookmarkEnd w:id="0"/>
      <w:r w:rsidR="009A1357">
        <w:rPr>
          <w:rFonts w:ascii="Arial" w:eastAsia="Times New Roman" w:hAnsi="Arial" w:cs="Arial"/>
          <w:b/>
          <w:noProof/>
          <w:szCs w:val="20"/>
        </w:rPr>
        <w:t xml:space="preserve">б) </w:t>
      </w:r>
      <w:r w:rsidR="009365EF" w:rsidRPr="009365EF">
        <w:rPr>
          <w:rFonts w:ascii="Arial" w:eastAsia="Times New Roman" w:hAnsi="Arial" w:cs="Times New Roman"/>
          <w:b/>
          <w:noProof/>
          <w:szCs w:val="20"/>
        </w:rPr>
        <w:t xml:space="preserve">ДИАГНОСТИЧНО - ЛЕЧЕБЕН АЛГОРИТЪМ. </w:t>
      </w:r>
    </w:p>
    <w:p w:rsidR="009365EF" w:rsidRPr="009365EF" w:rsidRDefault="009365EF" w:rsidP="009365EF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9365E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Лечението на пациента с остър вирусен хепатит започва веднага с постъпването. Няма значение етиологичния причинител (HBV, HCV, HDV) – започва се с вливания на глюкозно-левулозни разтвори до 2 литра течности според тежестта на заболяването и хепатопротективна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показатели и терапевтичния план;терапевтичният план да съдържа и включването на парентерален хепатопротектор;</w:t>
      </w:r>
    </w:p>
    <w:p w:rsidR="009365EF" w:rsidRPr="009365EF" w:rsidRDefault="009365EF" w:rsidP="009365EF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По преценка и при възможност се провежда терапия с хипербарна оксигенация;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първия ден след хоспитализацията се назначава минимума лабораторни изследвания;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рамките на болничния престой се провежда ехографско изследване на черния дроб с оглед ДД възможности при иктерен синдром и възможността от наслагване на остър възпалителен процес с вирусна генеза (ОВХ) върху предшестващо (хронично) чернодробно страдание (стеатоза, калкулоза и др.);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Задължителна преоценка на поведението се прави при влошаване на клиничното състояние – базира се на комплекс от показатели – клинични, лабораторни, ехографски;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lastRenderedPageBreak/>
        <w:t>Пациентът може да бъде оставен в болницата на перорална хепатопротективна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вирусологични изследвания.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>ОВХ с основен механизъм на предаване парентерален (ОВХ тип В, ОВХ тип С, ОВХ нито В нито С)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се хоспитализират в инфекциозни отделения за период според тежестта на заболяването, 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но </w:t>
      </w:r>
      <w:r w:rsidR="00E5176E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>не по-малко от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 </w:t>
      </w:r>
      <w:r w:rsidR="008B2BB8" w:rsidRPr="00F87E3F">
        <w:rPr>
          <w:rFonts w:ascii="Arial" w:eastAsia="Times New Roman" w:hAnsi="Arial" w:cs="Times New Roman"/>
          <w:b/>
          <w:color w:val="000000" w:themeColor="text1"/>
          <w:szCs w:val="20"/>
          <w:lang w:val="en-US" w:eastAsia="bg-BG"/>
        </w:rPr>
        <w:t>5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 дни.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Тези остри вирусни хепатити могат да протекат в следните клинични форми :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иктерична форма с цитолизен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иктерична форма с холестазен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остър хепатит със затегнато протичане.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аниктерична форма.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оточно-асцитна форма на остър вирусен хепатит.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4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365EF" w:rsidRPr="009365EF" w:rsidTr="00080857">
        <w:trPr>
          <w:trHeight w:val="58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365EF" w:rsidRPr="009365EF" w:rsidTr="00080857">
        <w:trPr>
          <w:trHeight w:val="1158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365EF" w:rsidRPr="009365EF" w:rsidRDefault="009365EF" w:rsidP="009365EF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4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99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Отдръпва (оттегля) Абнормна флексия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 екстензия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 - орбикуларен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Вертикален окулоцефален или окуловестибуларен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 реакция на светлина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Хоризонтален окулоцефален или окуловестибуларен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41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365EF" w:rsidRPr="009365EF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t>децеребрация – 4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t>декортикация – 5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t>сомнолентност - над 10 т.</w:t>
      </w:r>
    </w:p>
    <w:p w:rsidR="009365EF" w:rsidRPr="002C0B9E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2C0B9E">
        <w:rPr>
          <w:rFonts w:ascii="Arial" w:eastAsia="Times New Roman" w:hAnsi="Arial" w:cs="Times New Roman"/>
          <w:b/>
          <w:bCs/>
          <w:szCs w:val="20"/>
        </w:rPr>
        <w:lastRenderedPageBreak/>
        <w:t>Оценката на тежестта на състоянието на пациента при коматозни състояния по скалата на GLASGOW - LIEGE задължително се отразява в документ “История на заболяването”.</w:t>
      </w:r>
    </w:p>
    <w:p w:rsidR="00175BA5" w:rsidRPr="002C0B9E" w:rsidRDefault="00175BA5" w:rsidP="00175BA5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9365EF" w:rsidRPr="009365EF" w:rsidRDefault="009A1357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6</w:t>
      </w:r>
      <w:r w:rsidR="009365EF" w:rsidRPr="009365EF">
        <w:rPr>
          <w:rFonts w:ascii="Arial" w:eastAsia="Times New Roman" w:hAnsi="Arial" w:cs="Times New Roman"/>
          <w:b/>
          <w:noProof/>
          <w:szCs w:val="20"/>
        </w:rPr>
        <w:t>. ПОСТАВЯНЕ НА ОКОНЧАТЕЛНА ДИАГНОЗА.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Прави се на базата на серологична и PCR диагностика при установяване на положителни маркери за хепатитна вирусна инфекция: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за остър вирусен хепатит В: HBsAg (+) + anti HBcAgIgM (+);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за остър вирусен хепатит C: 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поява на анти HCV (сероконверсия) до 2-ия месец (най-късно 6-ия м.) или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позитивиране на HCV PCR до 2-ия месец (най-късно 6-ия м.) при предхождащо негативно HCV PCR;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за остър цитомегаловирусен хепатит: анти IgM CMV;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за остър хепатит, причинен от HSV - анти IgM HSV;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за остър вирусен хепатит неопределен: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на специфични серологични маркери за HAV,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нуклеинова киселина на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iCs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остър вирусен хепатит С, при пациенти, подходящи за включване на интерфероново лечение задължително се извършва PCR диагностика. Пациента се насочва за започване на интерфероново лечение по реда за осъществяване в извънболничната помощ.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A1357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7</w:t>
      </w:r>
      <w:r w:rsidR="009365EF" w:rsidRPr="009365EF">
        <w:rPr>
          <w:rFonts w:ascii="Arial" w:eastAsia="Times New Roman" w:hAnsi="Arial" w:cs="Times New Roman"/>
          <w:b/>
          <w:noProof/>
          <w:szCs w:val="20"/>
        </w:rPr>
        <w:t>. ДЕХОСПИТАЛИЗАЦИЯ И ОПРЕДЕЛЯНЕ НА СЛЕДБОЛНИЧЕН РЕЖИМ</w:t>
      </w:r>
      <w:r w:rsidR="009365EF" w:rsidRPr="009365EF">
        <w:rPr>
          <w:rFonts w:ascii="Arial" w:eastAsia="Times New Roman" w:hAnsi="Arial" w:cs="Times New Roman"/>
          <w:b/>
          <w:szCs w:val="20"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след изтекъл задължителен престой, съгласно нормативните документи;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на астено-адинамичен синдром;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положителна динамика в биохимичните показатели;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билирубин равен или по-малко от 100; АЛАТ - не повече от 500 UI;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 (хепато-спленомегален синдром и други).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При наличие на решут при остър вирусен хепатит В </w:t>
      </w:r>
      <w:r w:rsidR="007E1933">
        <w:rPr>
          <w:rFonts w:ascii="Arial" w:eastAsia="Times New Roman" w:hAnsi="Arial" w:cs="Times New Roman"/>
          <w:b/>
          <w:szCs w:val="20"/>
        </w:rPr>
        <w:t>(стойности на АЛАТ ≥ 1000 МЕ)</w:t>
      </w:r>
      <w:r w:rsidR="007E1933" w:rsidRPr="007E1933">
        <w:rPr>
          <w:rFonts w:ascii="Arial" w:eastAsia="Times New Roman" w:hAnsi="Arial" w:cs="Times New Roman"/>
          <w:b/>
          <w:szCs w:val="20"/>
        </w:rPr>
        <w:t xml:space="preserve"> се допуска повторна хоспитализация в рамките на един отчетен период, но не по-вече от 5% от общия брой за същото лечебно заведение и за същия отчетен период.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изписване болният получава писмени инструкции с диетичния режим</w:t>
      </w:r>
      <w:r w:rsidRPr="009365EF">
        <w:rPr>
          <w:rFonts w:ascii="Arial" w:eastAsia="Times New Roman" w:hAnsi="Arial" w:cs="Times New Roman"/>
          <w:i/>
          <w:szCs w:val="20"/>
          <w:u w:val="single"/>
        </w:rPr>
        <w:t>.</w:t>
      </w:r>
      <w:r w:rsidRPr="009365EF">
        <w:rPr>
          <w:rFonts w:ascii="Arial" w:eastAsia="Times New Roman" w:hAnsi="Arial" w:cs="Times New Roman"/>
          <w:szCs w:val="20"/>
        </w:rPr>
        <w:t xml:space="preserve"> Диспансеризира и се наблюдава от специалист - инфекционист в рамките на 3 месеца до 1 година (според вида на хепатита – Наредба № 43 от 13.11.95 г.), съгласувано с ОПЛ, който издава болничен лист. При необходимост и по преценка се провеждат в първия месец от изписването до два контролни прегледа, включени в цената на клиничната пътека. При установяване на клинични данни за хроничен вирусен хепатит пациента се насочва за консултация с гастроентеролог с оглед предлагането му за специфична противовирусна терапия.</w:t>
      </w:r>
    </w:p>
    <w:p w:rsidR="009365EF" w:rsidRPr="00622B85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="009A1357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>8</w:t>
      </w: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. </w:t>
      </w:r>
      <w:r w:rsidRPr="00622B85">
        <w:rPr>
          <w:rFonts w:ascii="Arial" w:eastAsia="Times New Roman" w:hAnsi="Arial" w:cs="Times New Roman"/>
          <w:b/>
          <w:caps/>
          <w:noProof/>
          <w:szCs w:val="20"/>
          <w:lang w:val="ru-RU"/>
        </w:rPr>
        <w:t>Документиране на дейностите по клиничната пътека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9365E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9365E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ИЗПИСВАНЕТО/ПРЕВЕЖДАНЕТО КЪМ ДРУГО ЛЕЧЕБНО ЗАВЕДЕНИЕ СЕ ДОКУМЕНТИРА В: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9365EF">
        <w:rPr>
          <w:rFonts w:ascii="Arial" w:eastAsia="Times New Roman" w:hAnsi="Arial" w:cs="Times New Roman"/>
          <w:i/>
          <w:szCs w:val="20"/>
        </w:rPr>
        <w:t>-</w:t>
      </w:r>
      <w:r w:rsidRPr="009365E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9365EF">
        <w:rPr>
          <w:rFonts w:ascii="Arial" w:eastAsia="Times New Roman" w:hAnsi="Arial" w:cs="Times New Roman"/>
          <w:szCs w:val="20"/>
        </w:rPr>
        <w:t>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9365EF" w:rsidRPr="009365EF" w:rsidRDefault="009365EF" w:rsidP="009365E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</w:p>
    <w:p w:rsidR="004D3BE4" w:rsidRPr="004D3BE4" w:rsidRDefault="004D3BE4" w:rsidP="004D3BE4">
      <w:pPr>
        <w:widowControl w:val="0"/>
        <w:spacing w:after="0" w:line="240" w:lineRule="auto"/>
        <w:ind w:left="7080"/>
        <w:rPr>
          <w:rFonts w:ascii="Arial" w:eastAsia="Times New Roman" w:hAnsi="Arial" w:cs="Times New Roman"/>
          <w:b/>
          <w:caps/>
          <w:szCs w:val="20"/>
        </w:rPr>
      </w:pPr>
      <w:r w:rsidRPr="004D3BE4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хепатална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Вашият лекар е преценил, че за лечението и наблюдението Ви е необходимо да постъпите в болница, където ще бъдете лекувани в условията на специализирано хепатитно отделение или интензивно отделение, поради значителните нарушения от страна на черния дроб и тежестта на заболяването.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вирусологични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Лечението Ви ще включва постелен режим, венозни вливания на глюкозо-левулозни разтвори, медикаменти, укрепващи черния дроб и други лекарства, които ще бъдат прилагани венозно или мускулно.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</w:t>
      </w:r>
      <w:r w:rsidR="002708E9">
        <w:rPr>
          <w:rFonts w:ascii="Arial" w:eastAsia="Times New Roman" w:hAnsi="Arial" w:cs="Times New Roman"/>
          <w:szCs w:val="20"/>
        </w:rPr>
        <w:t>нието на Вашите близки, лекуващия</w:t>
      </w:r>
      <w:r w:rsidRPr="009365EF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 </w:t>
      </w:r>
    </w:p>
    <w:p w:rsidR="009365EF" w:rsidRDefault="009365EF"/>
    <w:sectPr w:rsidR="009365EF" w:rsidSect="0029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C52"/>
    <w:multiLevelType w:val="hybridMultilevel"/>
    <w:tmpl w:val="31CA8338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5D839C1"/>
    <w:multiLevelType w:val="hybridMultilevel"/>
    <w:tmpl w:val="DC64959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F311C04"/>
    <w:multiLevelType w:val="multilevel"/>
    <w:tmpl w:val="62A25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48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1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4">
    <w:nsid w:val="43D32562"/>
    <w:multiLevelType w:val="hybridMultilevel"/>
    <w:tmpl w:val="B4523FA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4D8B"/>
    <w:rsid w:val="000B139C"/>
    <w:rsid w:val="00175BA5"/>
    <w:rsid w:val="001A0777"/>
    <w:rsid w:val="001A4FFA"/>
    <w:rsid w:val="001A7ED9"/>
    <w:rsid w:val="00264D04"/>
    <w:rsid w:val="002708E9"/>
    <w:rsid w:val="00291BDD"/>
    <w:rsid w:val="002B35B3"/>
    <w:rsid w:val="002B6F28"/>
    <w:rsid w:val="002C0B9E"/>
    <w:rsid w:val="003C3747"/>
    <w:rsid w:val="00482AEE"/>
    <w:rsid w:val="004C3223"/>
    <w:rsid w:val="004D3BE4"/>
    <w:rsid w:val="004E59B8"/>
    <w:rsid w:val="004E623C"/>
    <w:rsid w:val="004F2FD2"/>
    <w:rsid w:val="00583F27"/>
    <w:rsid w:val="00622B85"/>
    <w:rsid w:val="00642245"/>
    <w:rsid w:val="00665B04"/>
    <w:rsid w:val="006C4D8B"/>
    <w:rsid w:val="007209C7"/>
    <w:rsid w:val="00726BF6"/>
    <w:rsid w:val="00765854"/>
    <w:rsid w:val="00774A48"/>
    <w:rsid w:val="007E1933"/>
    <w:rsid w:val="008B2BB8"/>
    <w:rsid w:val="008D3616"/>
    <w:rsid w:val="009365EF"/>
    <w:rsid w:val="009A1357"/>
    <w:rsid w:val="009C3419"/>
    <w:rsid w:val="009D3CED"/>
    <w:rsid w:val="00A31DA1"/>
    <w:rsid w:val="00A6025A"/>
    <w:rsid w:val="00AB1AB8"/>
    <w:rsid w:val="00B65392"/>
    <w:rsid w:val="00B703A1"/>
    <w:rsid w:val="00C63BB6"/>
    <w:rsid w:val="00CB0E4E"/>
    <w:rsid w:val="00D02F51"/>
    <w:rsid w:val="00D13AD6"/>
    <w:rsid w:val="00D76D25"/>
    <w:rsid w:val="00D9010D"/>
    <w:rsid w:val="00E5176E"/>
    <w:rsid w:val="00E773F8"/>
    <w:rsid w:val="00ED4524"/>
    <w:rsid w:val="00F437BA"/>
    <w:rsid w:val="00F87E3F"/>
    <w:rsid w:val="00F94E99"/>
    <w:rsid w:val="00FD744B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3C3747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3C3747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2284</Words>
  <Characters>13022</Characters>
  <Application>Microsoft Office Word</Application>
  <DocSecurity>0</DocSecurity>
  <Lines>108</Lines>
  <Paragraphs>30</Paragraphs>
  <ScaleCrop>false</ScaleCrop>
  <Company>NZOK</Company>
  <LinksUpToDate>false</LinksUpToDate>
  <CharactersWithSpaces>15276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Дарина Стефанова  Минева</cp:lastModifiedBy>
  <cp:revision>47</cp:revision>
  <dcterms:created xsi:type="dcterms:W3CDTF">2017-03-08T09:23:00Z</dcterms:created>
  <dcterms:modified xsi:type="dcterms:W3CDTF">2022-10-31T12:38:00Z</dcterms:modified>
</cp:coreProperties>
</file>