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F6" w:rsidRDefault="005824F6" w:rsidP="009D7190">
      <w:pPr>
        <w:jc w:val="center"/>
        <w:rPr>
          <w:rFonts w:ascii="Arial" w:hAnsi="Arial" w:cs="Arial"/>
          <w:b/>
          <w:snapToGrid w:val="0"/>
          <w:sz w:val="28"/>
          <w:szCs w:val="28"/>
          <w:lang w:val="en-US"/>
        </w:rPr>
      </w:pPr>
      <w:r w:rsidRPr="000F7506">
        <w:rPr>
          <w:rFonts w:ascii="Arial" w:hAnsi="Arial" w:cs="Arial"/>
          <w:b/>
          <w:snapToGrid w:val="0"/>
          <w:sz w:val="28"/>
          <w:szCs w:val="28"/>
          <w:lang w:val="bg-BG"/>
        </w:rPr>
        <w:t>КП №</w:t>
      </w:r>
      <w:r w:rsidRPr="000F7506">
        <w:rPr>
          <w:rFonts w:ascii="Arial" w:hAnsi="Arial" w:cs="Arial"/>
          <w:b/>
          <w:sz w:val="28"/>
          <w:szCs w:val="28"/>
          <w:lang w:val="ru-RU"/>
        </w:rPr>
        <w:t xml:space="preserve"> 72 ЕНДОСКОПСКО И МЕДИКАМЕНТОЗНО ЛЕЧЕНИЕ ПРИ ОСТРО КЪРВЕНЕ ОТ ГАСТРОИНТЕСТИНАЛНИЯ ТРАКТ</w:t>
      </w:r>
    </w:p>
    <w:p w:rsidR="009D7190" w:rsidRPr="009D7190" w:rsidRDefault="00815E04" w:rsidP="009D7190">
      <w:pPr>
        <w:jc w:val="center"/>
        <w:rPr>
          <w:rFonts w:ascii="Arial" w:hAnsi="Arial" w:cs="Arial"/>
          <w:b/>
          <w:caps/>
          <w:spacing w:val="20"/>
          <w:sz w:val="28"/>
          <w:szCs w:val="20"/>
          <w:lang w:val="bg-BG"/>
        </w:rPr>
      </w:pPr>
      <w:r w:rsidRPr="000F7506">
        <w:rPr>
          <w:rFonts w:ascii="Arial" w:hAnsi="Arial" w:cs="Arial"/>
          <w:b/>
          <w:snapToGrid w:val="0"/>
          <w:sz w:val="28"/>
          <w:szCs w:val="28"/>
          <w:lang w:val="bg-BG"/>
        </w:rPr>
        <w:t>КП №</w:t>
      </w:r>
      <w:r w:rsidRPr="000F7506">
        <w:rPr>
          <w:rFonts w:ascii="Arial" w:hAnsi="Arial" w:cs="Arial"/>
          <w:b/>
          <w:sz w:val="28"/>
          <w:szCs w:val="28"/>
          <w:lang w:val="ru-RU"/>
        </w:rPr>
        <w:t xml:space="preserve"> 72</w:t>
      </w:r>
      <w:r w:rsidR="009D7190">
        <w:rPr>
          <w:rFonts w:ascii="Arial" w:hAnsi="Arial" w:cs="Arial"/>
          <w:b/>
          <w:sz w:val="28"/>
          <w:szCs w:val="28"/>
          <w:lang w:val="en-US"/>
        </w:rPr>
        <w:t>.2</w:t>
      </w:r>
      <w:r w:rsidRPr="000F7506">
        <w:rPr>
          <w:rFonts w:ascii="Arial" w:hAnsi="Arial" w:cs="Arial"/>
          <w:b/>
          <w:sz w:val="28"/>
          <w:szCs w:val="28"/>
          <w:lang w:val="ru-RU"/>
        </w:rPr>
        <w:t xml:space="preserve"> ЕНДОСКОПСКО И МЕДИКАМЕНТОЗНО ЛЕЧЕНИЕ ПРИ ОСТРО КЪРВЕНЕ ОТ ГАСТРОИНТЕСТИНАЛНИЯ ТРАКТ </w:t>
      </w:r>
      <w:r w:rsidR="009D7190" w:rsidRPr="009D7190">
        <w:rPr>
          <w:rFonts w:ascii="Arial" w:hAnsi="Arial" w:cs="Arial"/>
          <w:b/>
          <w:caps/>
          <w:spacing w:val="20"/>
          <w:sz w:val="28"/>
          <w:szCs w:val="20"/>
          <w:lang w:val="bg-BG"/>
        </w:rPr>
        <w:t>за лица под 18 годишна възраст</w:t>
      </w:r>
    </w:p>
    <w:p w:rsidR="00815E04" w:rsidRPr="000F7506" w:rsidRDefault="000B51B8" w:rsidP="00630182">
      <w:pPr>
        <w:pStyle w:val="BodyChar"/>
        <w:spacing w:before="0" w:line="240" w:lineRule="auto"/>
        <w:ind w:hanging="142"/>
        <w:jc w:val="lef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</w:t>
      </w:r>
      <w:r w:rsidR="00630182">
        <w:rPr>
          <w:rFonts w:cs="Arial"/>
          <w:sz w:val="28"/>
          <w:szCs w:val="28"/>
          <w:lang w:val="en-US"/>
        </w:rPr>
        <w:t>1</w:t>
      </w:r>
      <w:r w:rsidR="00630182">
        <w:rPr>
          <w:rFonts w:cs="Arial"/>
          <w:sz w:val="28"/>
          <w:szCs w:val="28"/>
        </w:rPr>
        <w:t>.</w:t>
      </w:r>
      <w:r w:rsidR="00224956">
        <w:rPr>
          <w:rFonts w:cs="Arial"/>
          <w:sz w:val="28"/>
          <w:szCs w:val="28"/>
        </w:rPr>
        <w:t> </w:t>
      </w:r>
      <w:r w:rsidR="00815E04" w:rsidRPr="000F7506">
        <w:rPr>
          <w:rFonts w:cs="Arial"/>
          <w:sz w:val="28"/>
          <w:szCs w:val="28"/>
        </w:rPr>
        <w:t xml:space="preserve">Минимален болничен престой </w:t>
      </w:r>
      <w:r w:rsidR="00815E04" w:rsidRPr="000F7506">
        <w:rPr>
          <w:rFonts w:cs="Arial"/>
          <w:sz w:val="28"/>
          <w:szCs w:val="28"/>
          <w:lang w:val="ru-RU"/>
        </w:rPr>
        <w:t>- 3</w:t>
      </w:r>
      <w:r w:rsidR="00815E04" w:rsidRPr="000F7506">
        <w:rPr>
          <w:rFonts w:cs="Arial"/>
          <w:sz w:val="28"/>
          <w:szCs w:val="28"/>
        </w:rPr>
        <w:t xml:space="preserve"> дни</w:t>
      </w:r>
      <w:r w:rsidR="00815E04" w:rsidRPr="000F7506">
        <w:rPr>
          <w:rFonts w:cs="Arial"/>
          <w:sz w:val="28"/>
          <w:szCs w:val="28"/>
          <w:lang w:val="ru-RU"/>
        </w:rPr>
        <w:t xml:space="preserve"> </w:t>
      </w:r>
    </w:p>
    <w:p w:rsidR="00DF5400" w:rsidRDefault="00DF5400" w:rsidP="00630182">
      <w:pPr>
        <w:pStyle w:val="BodyChar"/>
        <w:spacing w:before="0" w:line="240" w:lineRule="auto"/>
        <w:ind w:firstLine="0"/>
        <w:rPr>
          <w:b/>
          <w:noProof/>
          <w:lang w:val="en-US"/>
        </w:rPr>
      </w:pPr>
    </w:p>
    <w:p w:rsidR="001D3E98" w:rsidRPr="000F7506" w:rsidRDefault="00DF5400" w:rsidP="00630182">
      <w:pPr>
        <w:pStyle w:val="BodyChar"/>
        <w:spacing w:before="0" w:line="240" w:lineRule="auto"/>
        <w:ind w:firstLine="0"/>
        <w:rPr>
          <w:rFonts w:cs="Arial"/>
          <w:b/>
          <w:szCs w:val="22"/>
          <w:lang w:val="ru-RU"/>
        </w:rPr>
      </w:pPr>
      <w:r>
        <w:rPr>
          <w:b/>
          <w:noProof/>
          <w:lang w:val="en-US"/>
        </w:rPr>
        <w:t xml:space="preserve"> </w:t>
      </w:r>
      <w:r>
        <w:rPr>
          <w:b/>
          <w:noProof/>
        </w:rPr>
        <w:t>2.</w:t>
      </w:r>
      <w:r>
        <w:rPr>
          <w:b/>
          <w:noProof/>
          <w:lang w:val="en-US"/>
        </w:rPr>
        <w:t>3</w:t>
      </w:r>
      <w:r w:rsidR="000B51B8">
        <w:rPr>
          <w:b/>
          <w:noProof/>
        </w:rPr>
        <w:t xml:space="preserve"> </w:t>
      </w:r>
      <w:r w:rsidR="001D3E98" w:rsidRPr="000F7506">
        <w:rPr>
          <w:b/>
          <w:noProof/>
        </w:rPr>
        <w:t xml:space="preserve">КОДОВЕ НА ОСНОВНИ ПРОЦЕДУРИ 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1D3E98" w:rsidRPr="00E80AA3" w:rsidTr="00121FA5">
        <w:trPr>
          <w:jc w:val="center"/>
        </w:trPr>
        <w:tc>
          <w:tcPr>
            <w:tcW w:w="9412" w:type="dxa"/>
          </w:tcPr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9C2698" w:rsidRPr="009C2698" w:rsidRDefault="009C2698" w:rsidP="002A7045">
            <w:pPr>
              <w:pStyle w:val="SrgCod"/>
              <w:spacing w:line="240" w:lineRule="auto"/>
              <w:rPr>
                <w:lang w:val="en-US"/>
              </w:rPr>
            </w:pPr>
          </w:p>
          <w:p w:rsidR="002A7045" w:rsidRDefault="002A7045" w:rsidP="002A7045">
            <w:pPr>
              <w:pStyle w:val="Body"/>
              <w:keepNext/>
              <w:keepLines/>
              <w:ind w:firstLine="513"/>
              <w:rPr>
                <w:noProof/>
                <w:highlight w:val="cyan"/>
              </w:rPr>
            </w:pPr>
          </w:p>
          <w:p w:rsidR="001D3E98" w:rsidRDefault="001D3E98" w:rsidP="00121FA5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  <w:r w:rsidRPr="00DE340A">
              <w:rPr>
                <w:rFonts w:cs="Arial"/>
                <w:sz w:val="20"/>
                <w:szCs w:val="20"/>
                <w:lang w:val="bg-BG"/>
              </w:rPr>
              <w:t>основни Терапевтични процедури</w:t>
            </w: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</w:p>
          <w:p w:rsidR="001D3E98" w:rsidRPr="00E80AA3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u w:val="single"/>
                <w:lang w:val="ru-RU"/>
              </w:rPr>
            </w:pPr>
          </w:p>
          <w:p w:rsidR="001D3E98" w:rsidRPr="00C26EED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C26EE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Ендоскопско приложение на агент в лезия на хранопровод</w:t>
            </w:r>
          </w:p>
          <w:p w:rsidR="001D3E98" w:rsidRPr="00C26EED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26EED">
              <w:rPr>
                <w:rFonts w:cs="Arial"/>
                <w:color w:val="222122"/>
                <w:sz w:val="20"/>
                <w:lang w:val="bg-BG"/>
              </w:rPr>
              <w:t>Инжектиране на склерозиращ агент</w:t>
            </w:r>
          </w:p>
          <w:p w:rsidR="001D3E98" w:rsidRPr="00C26EED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26EED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C26EED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26EED">
              <w:rPr>
                <w:rFonts w:cs="Arial"/>
                <w:color w:val="222122"/>
                <w:sz w:val="20"/>
                <w:lang w:val="bg-BG"/>
              </w:rPr>
              <w:tab/>
              <w:t>варици:</w:t>
            </w:r>
          </w:p>
          <w:p w:rsidR="001D3E98" w:rsidRPr="00C26EED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26EED">
              <w:rPr>
                <w:sz w:val="20"/>
                <w:szCs w:val="20"/>
                <w:lang w:val="bg-BG"/>
              </w:rPr>
              <w:t>• езофаеални</w:t>
            </w:r>
          </w:p>
          <w:p w:rsidR="001D3E98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26EED">
              <w:rPr>
                <w:sz w:val="20"/>
                <w:szCs w:val="20"/>
                <w:lang w:val="bg-BG"/>
              </w:rPr>
              <w:t>• езофаго гастрален преход</w:t>
            </w:r>
          </w:p>
          <w:p w:rsidR="001D3E98" w:rsidRPr="0097172D" w:rsidRDefault="001D3E98" w:rsidP="00121FA5">
            <w:pPr>
              <w:pStyle w:val="Line2"/>
              <w:spacing w:before="0"/>
            </w:pPr>
            <w:r w:rsidRPr="0097172D">
              <w:t>30478-06</w:t>
            </w:r>
            <w:r w:rsidRPr="0097172D">
              <w:tab/>
              <w:t>Ендоскопско приложение на агент в кървяща лезия в хранопровода</w:t>
            </w:r>
          </w:p>
          <w:p w:rsidR="001D3E98" w:rsidRPr="0097172D" w:rsidRDefault="001D3E98" w:rsidP="00121FA5">
            <w:pPr>
              <w:pStyle w:val="Line2"/>
              <w:spacing w:before="0"/>
            </w:pPr>
            <w:r w:rsidRPr="0097172D">
              <w:t>30478-09</w:t>
            </w:r>
            <w:r w:rsidRPr="0097172D">
              <w:tab/>
              <w:t>Ендоскопско приложение на агент в кървяща лезия в областта на хранопроводно-стомашния преход</w:t>
            </w:r>
          </w:p>
          <w:p w:rsidR="001D3E98" w:rsidRPr="00C26EED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C26EE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Деструктивни процедури на хранопровода</w:t>
            </w:r>
          </w:p>
          <w:p w:rsidR="001D3E98" w:rsidRPr="00C26EED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26EED">
              <w:rPr>
                <w:rFonts w:ascii="Arial" w:hAnsi="Arial" w:cs="Arial"/>
                <w:sz w:val="20"/>
                <w:szCs w:val="20"/>
                <w:lang w:val="bg-BG"/>
              </w:rPr>
              <w:t>30476-02</w:t>
            </w:r>
            <w:r w:rsidRPr="00C26EED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Ендоскопско лигиране варици на хранопровод</w:t>
            </w:r>
          </w:p>
          <w:p w:rsidR="001D3E98" w:rsidRPr="00C26EED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26EED">
              <w:rPr>
                <w:rFonts w:cs="Arial"/>
                <w:color w:val="222122"/>
                <w:sz w:val="20"/>
                <w:lang w:val="bg-BG"/>
              </w:rPr>
              <w:t>Ендоскопско лигиране варици на езофагогастрален сегмент</w:t>
            </w:r>
          </w:p>
          <w:p w:rsidR="001D3E98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</w:p>
          <w:p w:rsidR="001D3E98" w:rsidRPr="00E80AA3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u w:val="single"/>
                <w:lang w:val="ru-RU"/>
              </w:rPr>
            </w:pPr>
          </w:p>
          <w:p w:rsidR="001D3E98" w:rsidRPr="00152435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    </w:t>
            </w:r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Процедури за приложение, поставяне или премахване върху стомах</w:t>
            </w:r>
          </w:p>
          <w:p w:rsidR="001D3E98" w:rsidRPr="0015243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30478-07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Ендоскопско приложение на агент в лезия на стомах или дванадесетопръстник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Инжекция на склерозиращ агент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дуоденални варици</w:t>
            </w:r>
          </w:p>
          <w:p w:rsidR="001D3E98" w:rsidRPr="00152435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52435">
              <w:rPr>
                <w:sz w:val="20"/>
                <w:szCs w:val="20"/>
                <w:lang w:val="bg-BG"/>
              </w:rPr>
              <w:t>стомашни варици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лезия(и) на езофаго-гастрален преход (30478-09 [851])</w:t>
            </w:r>
          </w:p>
          <w:p w:rsidR="001D3E98" w:rsidRPr="00FD70C5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Други</w:t>
            </w:r>
            <w:proofErr w:type="spellEnd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възстановителни</w:t>
            </w:r>
            <w:proofErr w:type="spellEnd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процедури</w:t>
            </w:r>
            <w:proofErr w:type="spellEnd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стомах</w:t>
            </w:r>
            <w:proofErr w:type="spellEnd"/>
          </w:p>
          <w:p w:rsidR="001D3E98" w:rsidRPr="00FD70C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FD70C5">
              <w:rPr>
                <w:rFonts w:ascii="Arial" w:hAnsi="Arial" w:cs="Arial"/>
                <w:sz w:val="20"/>
                <w:szCs w:val="20"/>
                <w:lang w:val="bg-BG"/>
              </w:rPr>
              <w:t>90296-00</w:t>
            </w:r>
            <w:r w:rsidRPr="00FD70C5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Ендоскопски контрол на пептична язва или кървене</w:t>
            </w:r>
          </w:p>
          <w:p w:rsidR="001D3E98" w:rsidRPr="00FD70C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D70C5">
              <w:rPr>
                <w:rFonts w:cs="Arial"/>
                <w:color w:val="222122"/>
                <w:sz w:val="20"/>
                <w:lang w:val="bg-BG"/>
              </w:rPr>
              <w:t>Ендоскопско:</w:t>
            </w:r>
          </w:p>
          <w:p w:rsidR="001D3E98" w:rsidRPr="00FD70C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D70C5">
              <w:rPr>
                <w:rFonts w:cs="Arial"/>
                <w:color w:val="222122"/>
                <w:sz w:val="20"/>
                <w:lang w:val="bg-BG"/>
              </w:rPr>
              <w:t>• клипсиране на язва (дуоденална) (стомашна) или кървене</w:t>
            </w:r>
          </w:p>
          <w:p w:rsidR="001D3E9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D70C5">
              <w:rPr>
                <w:rFonts w:cs="Arial"/>
                <w:color w:val="222122"/>
                <w:sz w:val="20"/>
                <w:lang w:val="bg-BG"/>
              </w:rPr>
              <w:t>• възстановяване на Mallory-Weiss лацерации</w:t>
            </w:r>
          </w:p>
          <w:p w:rsidR="001D3E98" w:rsidRPr="00152435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Панендоскопия с деструкция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 xml:space="preserve">Гастроскопия 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с деструкция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Езофагогастродуоденоскопия [EGD] }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двойно балонна ентероскопия</w:t>
            </w:r>
          </w:p>
          <w:p w:rsidR="001D3E98" w:rsidRPr="0015243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30478-01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 диатермия</w:t>
            </w:r>
          </w:p>
          <w:p w:rsidR="001D3E98" w:rsidRPr="0015243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30478-02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със сонда за термична коагулация</w:t>
            </w:r>
          </w:p>
          <w:p w:rsidR="001D3E98" w:rsidRPr="0015243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30478-03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 лазерна коагулация</w:t>
            </w:r>
          </w:p>
          <w:p w:rsidR="001D3E98" w:rsidRPr="0015243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30478-20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дуоденома с друга коагулация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Аргон плазма коагулация</w:t>
            </w:r>
          </w:p>
          <w:p w:rsidR="001D3E98" w:rsidRPr="00FD70C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1D3E98" w:rsidRPr="00E80AA3" w:rsidRDefault="001D3E98" w:rsidP="00121FA5">
            <w:pPr>
              <w:pStyle w:val="SrgCod4dig"/>
              <w:spacing w:before="0" w:line="240" w:lineRule="auto"/>
              <w:outlineLvl w:val="0"/>
            </w:pPr>
          </w:p>
          <w:p w:rsidR="001D3E98" w:rsidRPr="00CD1BA4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Деструктивни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процедури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дебело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черво</w:t>
            </w:r>
            <w:proofErr w:type="spellEnd"/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90308-00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Ендоскопска деструкция на лезия на дебело черво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Ендоскопска: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аблация на тумор на дебело черво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Аргон-плазма коагулация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контрол на дебелочревно кървене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lastRenderedPageBreak/>
              <w:t>• деструкция на дебелочревни тъкани</w:t>
            </w:r>
          </w:p>
          <w:p w:rsidR="001D3E9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с лазер (30479-02 [908])</w:t>
            </w:r>
          </w:p>
          <w:p w:rsidR="001D3E98" w:rsidRPr="004D5A5D" w:rsidRDefault="001D3E98" w:rsidP="00121FA5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4D5A5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Деструктивни процедури на ректум или анус</w:t>
            </w:r>
          </w:p>
          <w:p w:rsidR="001D3E98" w:rsidRPr="004D5A5D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D5A5D">
              <w:rPr>
                <w:rFonts w:ascii="Arial" w:hAnsi="Arial" w:cs="Arial"/>
                <w:sz w:val="20"/>
                <w:szCs w:val="20"/>
                <w:lang w:val="bg-BG"/>
              </w:rPr>
              <w:t>90312-00</w:t>
            </w:r>
            <w:r w:rsidRPr="004D5A5D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Електрокоагулация на ректална тъкан </w:t>
            </w:r>
          </w:p>
          <w:p w:rsidR="001D3E98" w:rsidRPr="004D5A5D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D5A5D">
              <w:rPr>
                <w:rFonts w:cs="Arial"/>
                <w:color w:val="222122"/>
                <w:sz w:val="20"/>
                <w:lang w:val="bg-BG"/>
              </w:rPr>
              <w:t>Електрокоагулация на ректална лезия</w:t>
            </w:r>
          </w:p>
          <w:p w:rsidR="001D3E98" w:rsidRPr="004D5A5D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4D5A5D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4D5A5D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4D5A5D">
              <w:rPr>
                <w:rFonts w:cs="Arial"/>
                <w:color w:val="222122"/>
                <w:sz w:val="20"/>
                <w:lang w:val="bg-BG"/>
              </w:rPr>
              <w:tab/>
              <w:t>такава при хемороиди (постоперативно) (90345-00 [931])</w:t>
            </w: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u w:val="single"/>
                <w:lang w:val="bg-BG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u w:val="single"/>
                <w:lang w:val="bg-BG"/>
              </w:rPr>
            </w:pPr>
          </w:p>
          <w:p w:rsidR="001D3E98" w:rsidRPr="00CD1BA4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Други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терапевтични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интервенции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храносмилателна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система</w:t>
            </w:r>
            <w:proofErr w:type="spellEnd"/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13506-00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Гастро-езофагеална балонна тампонада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Езофагеална тампонада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Включва: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такава чрез: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Minnesota балон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Sengstaken-Blakemore сонда (балон)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 xml:space="preserve">Изпълнена за контрол на кървене от гастро-езофагеални варици </w:t>
            </w: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1D3E98" w:rsidRPr="00CD1BA4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Неинцизионно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поставяне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интервенции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за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дилатация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храносмилателна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система</w:t>
            </w:r>
            <w:proofErr w:type="spellEnd"/>
          </w:p>
          <w:p w:rsidR="00C42645" w:rsidRPr="00716A06" w:rsidRDefault="001D3E98" w:rsidP="00716A06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92065-00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Ректална</w:t>
            </w:r>
            <w:proofErr w:type="spellEnd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тампонада</w:t>
            </w:r>
            <w:proofErr w:type="spellEnd"/>
          </w:p>
          <w:p w:rsidR="001D3E98" w:rsidRPr="00E80AA3" w:rsidRDefault="001D3E98" w:rsidP="00121FA5">
            <w:pPr>
              <w:pStyle w:val="Exclude"/>
              <w:keepNext w:val="0"/>
              <w:keepLines w:val="0"/>
              <w:spacing w:line="240" w:lineRule="auto"/>
              <w:ind w:left="1055" w:hanging="1055"/>
              <w:rPr>
                <w:rFonts w:ascii="Arial" w:hAnsi="Arial" w:cs="Arial"/>
                <w:b/>
                <w:noProof w:val="0"/>
              </w:rPr>
            </w:pPr>
          </w:p>
        </w:tc>
      </w:tr>
    </w:tbl>
    <w:p w:rsidR="001D3E98" w:rsidRPr="00E80AA3" w:rsidRDefault="001D3E98" w:rsidP="001D3E98">
      <w:pPr>
        <w:pStyle w:val="Body"/>
        <w:spacing w:before="0" w:line="240" w:lineRule="auto"/>
        <w:ind w:firstLine="570"/>
        <w:rPr>
          <w:szCs w:val="24"/>
        </w:rPr>
      </w:pPr>
      <w:r w:rsidRPr="00E80AA3">
        <w:rPr>
          <w:b/>
          <w:szCs w:val="24"/>
        </w:rPr>
        <w:lastRenderedPageBreak/>
        <w:t>Изискване:</w:t>
      </w:r>
      <w:r w:rsidRPr="00E80AA3">
        <w:rPr>
          <w:szCs w:val="24"/>
        </w:rPr>
        <w:t xml:space="preserve"> Клиничната пътека се счита за завършена, ако са приложени и отчетени: </w:t>
      </w:r>
    </w:p>
    <w:p w:rsidR="00104C4E" w:rsidRDefault="00104C4E" w:rsidP="00104C4E">
      <w:pPr>
        <w:pStyle w:val="Body"/>
        <w:spacing w:before="0" w:line="240" w:lineRule="auto"/>
        <w:ind w:firstLine="570"/>
      </w:pPr>
      <w:r>
        <w:rPr>
          <w:szCs w:val="24"/>
        </w:rPr>
        <w:t>П</w:t>
      </w:r>
      <w:r w:rsidRPr="00E7566C">
        <w:t>ри тежки кръвоизливи или шок (</w:t>
      </w:r>
      <w:r w:rsidRPr="00E7566C">
        <w:rPr>
          <w:lang w:val="de-DE"/>
        </w:rPr>
        <w:t>R</w:t>
      </w:r>
      <w:r w:rsidRPr="00E7566C">
        <w:rPr>
          <w:lang w:val="ru-RU"/>
        </w:rPr>
        <w:t>57.1</w:t>
      </w:r>
      <w:r w:rsidRPr="00E7566C">
        <w:t>) - три основни диагностични процедури:</w:t>
      </w:r>
    </w:p>
    <w:p w:rsidR="00104C4E" w:rsidRPr="00E7566C" w:rsidRDefault="00104C4E" w:rsidP="00104C4E">
      <w:pPr>
        <w:pStyle w:val="Body"/>
        <w:spacing w:before="0" w:line="240" w:lineRule="auto"/>
        <w:ind w:firstLine="570"/>
        <w:rPr>
          <w:szCs w:val="24"/>
        </w:rPr>
      </w:pPr>
      <w:r w:rsidRPr="00E7566C">
        <w:t xml:space="preserve"> - Една диагностична процедура - </w:t>
      </w:r>
      <w:r w:rsidRPr="00E7566C">
        <w:rPr>
          <w:rFonts w:cs="Arial"/>
        </w:rPr>
        <w:t>включва задължително извършване на целия комплекс от медико-диагностични изследвания</w:t>
      </w:r>
      <w:r w:rsidRPr="00E7566C">
        <w:rPr>
          <w:bCs/>
          <w:color w:val="000000"/>
        </w:rPr>
        <w:t xml:space="preserve">, посочени в блок </w:t>
      </w:r>
      <w:r w:rsidRPr="00E7566C">
        <w:t>1932 „Изследвания на урината“;</w:t>
      </w:r>
    </w:p>
    <w:p w:rsidR="00104C4E" w:rsidRPr="00722D98" w:rsidRDefault="00104C4E" w:rsidP="00104C4E">
      <w:pPr>
        <w:pStyle w:val="ListParagraph"/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 w:cs="Arial"/>
          <w:sz w:val="22"/>
          <w:szCs w:val="20"/>
          <w:lang w:val="bg-BG"/>
        </w:rPr>
      </w:pPr>
      <w:r>
        <w:rPr>
          <w:rFonts w:ascii="Arial" w:hAnsi="Arial"/>
          <w:sz w:val="22"/>
          <w:lang w:val="bg-BG"/>
        </w:rPr>
        <w:t xml:space="preserve">Втора </w:t>
      </w:r>
      <w:r w:rsidRPr="00722D98">
        <w:rPr>
          <w:rFonts w:ascii="Arial" w:hAnsi="Arial"/>
          <w:sz w:val="22"/>
          <w:lang w:val="bg-BG"/>
        </w:rPr>
        <w:t>диагностична процедура, която в</w:t>
      </w:r>
      <w:r w:rsidRPr="00722D98">
        <w:rPr>
          <w:rFonts w:ascii="Arial" w:hAnsi="Arial" w:cs="Arial"/>
          <w:sz w:val="22"/>
          <w:szCs w:val="20"/>
          <w:lang w:val="bg-BG"/>
        </w:rPr>
        <w:t>ключва задължително извършване на целия комплекс от медико-диагностични изследвания</w:t>
      </w:r>
      <w:r w:rsidRPr="00722D98">
        <w:rPr>
          <w:rFonts w:ascii="Arial" w:hAnsi="Arial" w:cs="Arial"/>
          <w:bCs/>
          <w:color w:val="000000"/>
          <w:sz w:val="22"/>
          <w:lang w:val="bg-BG"/>
        </w:rPr>
        <w:t>, посочени в блок 1923 „Хематологични изследвания“ и блок 1924 „Биохимични изследвания“;</w:t>
      </w:r>
    </w:p>
    <w:p w:rsidR="00104C4E" w:rsidRPr="00842E01" w:rsidRDefault="00104C4E" w:rsidP="00104C4E">
      <w:pPr>
        <w:pStyle w:val="ListParagraph"/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 w:cs="Arial"/>
          <w:sz w:val="22"/>
          <w:szCs w:val="20"/>
          <w:lang w:val="bg-BG"/>
        </w:rPr>
      </w:pPr>
      <w:r>
        <w:rPr>
          <w:rFonts w:ascii="Arial" w:hAnsi="Arial"/>
          <w:sz w:val="22"/>
          <w:lang w:val="bg-BG"/>
        </w:rPr>
        <w:t xml:space="preserve">Трета - електрокардиограма </w:t>
      </w:r>
      <w:r w:rsidRPr="00842E01">
        <w:rPr>
          <w:rFonts w:ascii="Arial" w:hAnsi="Arial"/>
          <w:sz w:val="22"/>
          <w:lang w:val="bg-BG"/>
        </w:rPr>
        <w:t>11700-00</w:t>
      </w:r>
      <w:r>
        <w:rPr>
          <w:rFonts w:ascii="Arial" w:hAnsi="Arial"/>
          <w:sz w:val="22"/>
          <w:lang w:val="bg-BG"/>
        </w:rPr>
        <w:t>;</w:t>
      </w:r>
    </w:p>
    <w:p w:rsidR="00104C4E" w:rsidRDefault="00104C4E" w:rsidP="00104C4E">
      <w:pPr>
        <w:pStyle w:val="Body"/>
        <w:numPr>
          <w:ilvl w:val="0"/>
          <w:numId w:val="5"/>
        </w:numPr>
        <w:spacing w:before="0" w:line="240" w:lineRule="auto"/>
        <w:ind w:left="0" w:firstLine="570"/>
        <w:rPr>
          <w:szCs w:val="24"/>
        </w:rPr>
      </w:pPr>
      <w:r w:rsidRPr="00E80AA3">
        <w:rPr>
          <w:szCs w:val="24"/>
        </w:rPr>
        <w:t>три основни терапевтични</w:t>
      </w:r>
      <w:r>
        <w:rPr>
          <w:szCs w:val="24"/>
        </w:rPr>
        <w:t xml:space="preserve">, </w:t>
      </w:r>
      <w:r w:rsidRPr="00E80AA3">
        <w:rPr>
          <w:szCs w:val="24"/>
        </w:rPr>
        <w:t xml:space="preserve">от които едната задължително е </w:t>
      </w:r>
      <w:r w:rsidRPr="00146638">
        <w:rPr>
          <w:szCs w:val="24"/>
        </w:rPr>
        <w:t>13706-02</w:t>
      </w:r>
      <w:r w:rsidRPr="00E80AA3">
        <w:rPr>
          <w:szCs w:val="24"/>
        </w:rPr>
        <w:t xml:space="preserve"> или </w:t>
      </w:r>
      <w:r w:rsidRPr="00146638">
        <w:rPr>
          <w:szCs w:val="24"/>
        </w:rPr>
        <w:t>92063-00</w:t>
      </w:r>
      <w:r w:rsidRPr="00E80AA3">
        <w:rPr>
          <w:szCs w:val="24"/>
        </w:rPr>
        <w:t xml:space="preserve">. </w:t>
      </w:r>
    </w:p>
    <w:p w:rsidR="00104C4E" w:rsidRPr="00842E01" w:rsidRDefault="00104C4E" w:rsidP="00104C4E">
      <w:pPr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/>
          <w:sz w:val="22"/>
          <w:lang w:val="bg-BG"/>
        </w:rPr>
      </w:pPr>
      <w:r w:rsidRPr="00842E01">
        <w:rPr>
          <w:rFonts w:ascii="Arial" w:hAnsi="Arial"/>
          <w:sz w:val="22"/>
          <w:lang w:val="bg-BG"/>
        </w:rPr>
        <w:t xml:space="preserve">при пациенти с анурия не се изисква задължително процедура </w:t>
      </w:r>
      <w:r>
        <w:rPr>
          <w:rFonts w:ascii="Arial" w:hAnsi="Arial"/>
          <w:sz w:val="22"/>
          <w:lang w:val="bg-BG"/>
        </w:rPr>
        <w:t xml:space="preserve">чиито </w:t>
      </w:r>
      <w:r>
        <w:rPr>
          <w:rFonts w:ascii="Arial" w:hAnsi="Arial"/>
          <w:sz w:val="22"/>
          <w:szCs w:val="20"/>
          <w:lang w:val="bg-BG"/>
        </w:rPr>
        <w:t>кодове</w:t>
      </w:r>
      <w:r w:rsidRPr="00842E01">
        <w:rPr>
          <w:rFonts w:ascii="Arial" w:hAnsi="Arial"/>
          <w:sz w:val="22"/>
          <w:szCs w:val="20"/>
          <w:lang w:val="bg-BG"/>
        </w:rPr>
        <w:t xml:space="preserve">, </w:t>
      </w:r>
      <w:r>
        <w:rPr>
          <w:rFonts w:ascii="Arial" w:hAnsi="Arial"/>
          <w:sz w:val="22"/>
          <w:szCs w:val="20"/>
          <w:lang w:val="bg-BG"/>
        </w:rPr>
        <w:t xml:space="preserve">са </w:t>
      </w:r>
      <w:r w:rsidRPr="00842E01">
        <w:rPr>
          <w:rFonts w:ascii="Arial" w:hAnsi="Arial"/>
          <w:sz w:val="22"/>
          <w:szCs w:val="20"/>
          <w:lang w:val="bg-BG"/>
        </w:rPr>
        <w:t>посочени в блок „Изследвания на урината);</w:t>
      </w:r>
    </w:p>
    <w:p w:rsidR="00104C4E" w:rsidRDefault="00104C4E" w:rsidP="00104C4E">
      <w:pPr>
        <w:pStyle w:val="Body"/>
        <w:spacing w:before="0" w:line="240" w:lineRule="auto"/>
        <w:ind w:firstLine="570"/>
      </w:pPr>
    </w:p>
    <w:p w:rsidR="00104C4E" w:rsidRDefault="00104C4E" w:rsidP="00104C4E">
      <w:pPr>
        <w:pStyle w:val="Body"/>
        <w:spacing w:before="0" w:line="240" w:lineRule="auto"/>
        <w:ind w:firstLine="570"/>
      </w:pPr>
      <w:r>
        <w:t>В</w:t>
      </w:r>
      <w:r w:rsidRPr="00842E01">
        <w:t xml:space="preserve"> останалите случаи – четири основни диагностични</w:t>
      </w:r>
      <w:r>
        <w:t xml:space="preserve"> процедури</w:t>
      </w:r>
      <w:r w:rsidRPr="00842E01">
        <w:t>:</w:t>
      </w:r>
      <w:r w:rsidRPr="00E7566C">
        <w:t xml:space="preserve"> </w:t>
      </w:r>
    </w:p>
    <w:p w:rsidR="00104C4E" w:rsidRPr="00E7566C" w:rsidRDefault="00104C4E" w:rsidP="00104C4E">
      <w:pPr>
        <w:pStyle w:val="Body"/>
        <w:spacing w:before="0" w:line="240" w:lineRule="auto"/>
        <w:ind w:firstLine="570"/>
        <w:rPr>
          <w:szCs w:val="24"/>
        </w:rPr>
      </w:pPr>
      <w:r w:rsidRPr="00E7566C">
        <w:t xml:space="preserve">- Една диагностична процедура - </w:t>
      </w:r>
      <w:r w:rsidRPr="00E7566C">
        <w:rPr>
          <w:rFonts w:cs="Arial"/>
        </w:rPr>
        <w:t>включва задължително извършване на целия комплекс от медико-диагностични изследвания</w:t>
      </w:r>
      <w:r w:rsidRPr="00E7566C">
        <w:rPr>
          <w:bCs/>
          <w:color w:val="000000"/>
        </w:rPr>
        <w:t xml:space="preserve">, посочени в блок </w:t>
      </w:r>
      <w:r w:rsidRPr="00E7566C">
        <w:t>1932 „Изследвания на урината“;</w:t>
      </w:r>
    </w:p>
    <w:p w:rsidR="00104C4E" w:rsidRPr="00722D98" w:rsidRDefault="00104C4E" w:rsidP="00104C4E">
      <w:pPr>
        <w:pStyle w:val="ListParagraph"/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 w:cs="Arial"/>
          <w:sz w:val="22"/>
          <w:szCs w:val="20"/>
          <w:lang w:val="bg-BG"/>
        </w:rPr>
      </w:pPr>
      <w:r>
        <w:rPr>
          <w:rFonts w:ascii="Arial" w:hAnsi="Arial"/>
          <w:sz w:val="22"/>
          <w:lang w:val="bg-BG"/>
        </w:rPr>
        <w:t xml:space="preserve">Втора </w:t>
      </w:r>
      <w:r w:rsidRPr="00722D98">
        <w:rPr>
          <w:rFonts w:ascii="Arial" w:hAnsi="Arial"/>
          <w:sz w:val="22"/>
          <w:lang w:val="bg-BG"/>
        </w:rPr>
        <w:t>диагностична процедура, която в</w:t>
      </w:r>
      <w:r w:rsidRPr="00722D98">
        <w:rPr>
          <w:rFonts w:ascii="Arial" w:hAnsi="Arial" w:cs="Arial"/>
          <w:sz w:val="22"/>
          <w:szCs w:val="20"/>
          <w:lang w:val="bg-BG"/>
        </w:rPr>
        <w:t>ключва задължително извършване на целия комплекс от медико-диагностични изследвания</w:t>
      </w:r>
      <w:r w:rsidRPr="00722D98">
        <w:rPr>
          <w:rFonts w:ascii="Arial" w:hAnsi="Arial" w:cs="Arial"/>
          <w:bCs/>
          <w:color w:val="000000"/>
          <w:sz w:val="22"/>
          <w:lang w:val="bg-BG"/>
        </w:rPr>
        <w:t>, посочени в блок 1923 „Хематологични изследвания“ и блок 1924 „Биохимични изследвания“;</w:t>
      </w:r>
    </w:p>
    <w:p w:rsidR="00104C4E" w:rsidRPr="00842E01" w:rsidRDefault="00104C4E" w:rsidP="00104C4E">
      <w:pPr>
        <w:pStyle w:val="ListParagraph"/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 w:cs="Arial"/>
          <w:sz w:val="22"/>
          <w:szCs w:val="20"/>
          <w:lang w:val="bg-BG"/>
        </w:rPr>
      </w:pPr>
      <w:r>
        <w:rPr>
          <w:rFonts w:ascii="Arial" w:hAnsi="Arial"/>
          <w:sz w:val="22"/>
          <w:lang w:val="bg-BG"/>
        </w:rPr>
        <w:t xml:space="preserve">Трета - електрокардиограма </w:t>
      </w:r>
      <w:r w:rsidRPr="00842E01">
        <w:rPr>
          <w:rFonts w:ascii="Arial" w:hAnsi="Arial"/>
          <w:sz w:val="22"/>
          <w:lang w:val="bg-BG"/>
        </w:rPr>
        <w:t>11700-00</w:t>
      </w:r>
      <w:r>
        <w:rPr>
          <w:rFonts w:ascii="Arial" w:hAnsi="Arial"/>
          <w:sz w:val="22"/>
          <w:lang w:val="bg-BG"/>
        </w:rPr>
        <w:t>;</w:t>
      </w:r>
    </w:p>
    <w:p w:rsidR="00104C4E" w:rsidRPr="00C52CF2" w:rsidRDefault="00104C4E" w:rsidP="00104C4E">
      <w:pPr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/>
          <w:sz w:val="22"/>
          <w:lang w:val="bg-BG"/>
        </w:rPr>
      </w:pPr>
      <w:r>
        <w:rPr>
          <w:rFonts w:ascii="Arial" w:hAnsi="Arial"/>
          <w:sz w:val="22"/>
          <w:lang w:val="bg-BG"/>
        </w:rPr>
        <w:t xml:space="preserve">Четвърта - </w:t>
      </w:r>
      <w:r w:rsidRPr="00C52CF2">
        <w:rPr>
          <w:rFonts w:ascii="Arial" w:hAnsi="Arial"/>
          <w:sz w:val="22"/>
          <w:lang w:val="bg-BG"/>
        </w:rPr>
        <w:t>ендоскопска процедура, и две терапевтични процедури</w:t>
      </w:r>
      <w:r>
        <w:rPr>
          <w:rFonts w:ascii="Arial" w:hAnsi="Arial"/>
          <w:sz w:val="22"/>
          <w:lang w:val="bg-BG"/>
        </w:rPr>
        <w:t xml:space="preserve">, </w:t>
      </w:r>
      <w:r w:rsidRPr="00C52CF2">
        <w:rPr>
          <w:rFonts w:ascii="Arial" w:hAnsi="Arial"/>
          <w:sz w:val="22"/>
          <w:lang w:val="bg-BG"/>
        </w:rPr>
        <w:t xml:space="preserve">от които едната е 96199-09 или 96200-09 или </w:t>
      </w:r>
      <w:r>
        <w:rPr>
          <w:rFonts w:ascii="Arial" w:hAnsi="Arial"/>
          <w:sz w:val="22"/>
          <w:lang w:val="bg-BG"/>
        </w:rPr>
        <w:t>96197-09</w:t>
      </w:r>
      <w:r w:rsidRPr="00C52CF2">
        <w:rPr>
          <w:rFonts w:ascii="Arial" w:hAnsi="Arial"/>
          <w:sz w:val="22"/>
          <w:lang w:val="bg-BG"/>
        </w:rPr>
        <w:t>.</w:t>
      </w:r>
      <w:r w:rsidRPr="00C52CF2">
        <w:rPr>
          <w:rFonts w:ascii="Arial" w:hAnsi="Arial"/>
          <w:b/>
          <w:sz w:val="22"/>
          <w:szCs w:val="20"/>
          <w:lang w:val="bg-BG"/>
        </w:rPr>
        <w:t xml:space="preserve"> </w:t>
      </w:r>
    </w:p>
    <w:p w:rsidR="00104C4E" w:rsidRDefault="00104C4E" w:rsidP="00104C4E">
      <w:pPr>
        <w:pStyle w:val="BodyChar"/>
        <w:tabs>
          <w:tab w:val="num" w:pos="0"/>
        </w:tabs>
        <w:spacing w:before="0" w:line="240" w:lineRule="auto"/>
        <w:ind w:firstLine="570"/>
      </w:pPr>
      <w:r>
        <w:tab/>
      </w:r>
      <w:r w:rsidRPr="00842E01">
        <w:t>При взимане на биопсия задължително се отчита допълнително и 91919-01 или 91919-11</w:t>
      </w:r>
      <w:r w:rsidRPr="00842E01">
        <w:rPr>
          <w:color w:val="FF0000"/>
        </w:rPr>
        <w:t xml:space="preserve"> </w:t>
      </w:r>
      <w:r w:rsidRPr="00842E01">
        <w:t>като пета процедура</w:t>
      </w:r>
      <w:r>
        <w:t>.</w:t>
      </w:r>
    </w:p>
    <w:p w:rsidR="00104C4E" w:rsidRDefault="00104C4E" w:rsidP="00104C4E">
      <w:pPr>
        <w:pStyle w:val="Body"/>
        <w:spacing w:before="0" w:line="240" w:lineRule="auto"/>
        <w:rPr>
          <w:szCs w:val="24"/>
        </w:rPr>
      </w:pPr>
    </w:p>
    <w:p w:rsidR="001D3E98" w:rsidRPr="00E80AA3" w:rsidRDefault="001D3E98" w:rsidP="00A32329">
      <w:pPr>
        <w:pStyle w:val="BodyChar"/>
        <w:tabs>
          <w:tab w:val="num" w:pos="0"/>
        </w:tabs>
        <w:spacing w:before="0" w:line="240" w:lineRule="auto"/>
        <w:ind w:firstLine="570"/>
        <w:rPr>
          <w:noProof/>
          <w:snapToGrid w:val="0"/>
        </w:rPr>
      </w:pPr>
      <w:r w:rsidRPr="00341F03">
        <w:rPr>
          <w:szCs w:val="24"/>
        </w:rPr>
        <w:t xml:space="preserve">При </w:t>
      </w:r>
      <w:proofErr w:type="spellStart"/>
      <w:r w:rsidRPr="00341F03">
        <w:rPr>
          <w:szCs w:val="24"/>
        </w:rPr>
        <w:t>контраиндикации</w:t>
      </w:r>
      <w:proofErr w:type="spellEnd"/>
      <w:r w:rsidRPr="00341F03">
        <w:rPr>
          <w:szCs w:val="24"/>
        </w:rPr>
        <w:t xml:space="preserve"> или не</w:t>
      </w:r>
      <w:r w:rsidRPr="00E80AA3">
        <w:rPr>
          <w:szCs w:val="24"/>
        </w:rPr>
        <w:t>възможност за извършване на ендоскопска процедура в пълен обем поради стеноза/стриктура, фистула на стомах и дуоденум, синдром на оперирания стомах, клиничната пътека се счита за завършена, ако има рентгенография, доказваща наличието им. Рентгеновата снимка или електронният носител се прикрепват към ИЗ.</w:t>
      </w:r>
    </w:p>
    <w:p w:rsidR="001D3E98" w:rsidRPr="00E80AA3" w:rsidRDefault="001D3E98" w:rsidP="001D3E98">
      <w:pPr>
        <w:pStyle w:val="BodyChar"/>
        <w:tabs>
          <w:tab w:val="num" w:pos="0"/>
        </w:tabs>
        <w:spacing w:before="0" w:line="240" w:lineRule="auto"/>
        <w:ind w:firstLine="570"/>
        <w:rPr>
          <w:noProof/>
          <w:snapToGrid w:val="0"/>
        </w:rPr>
      </w:pPr>
      <w:r w:rsidRPr="00E80AA3">
        <w:rPr>
          <w:noProof/>
          <w:snapToGrid w:val="0"/>
        </w:rPr>
        <w:t xml:space="preserve">Терапевтичните процедури: </w:t>
      </w:r>
      <w:r w:rsidRPr="00146638">
        <w:rPr>
          <w:noProof/>
          <w:snapToGrid w:val="0"/>
        </w:rPr>
        <w:t>96197-02</w:t>
      </w:r>
      <w:r>
        <w:rPr>
          <w:noProof/>
          <w:snapToGrid w:val="0"/>
        </w:rPr>
        <w:t>; 96199-02</w:t>
      </w:r>
      <w:r w:rsidRPr="002A5B7D">
        <w:rPr>
          <w:noProof/>
          <w:snapToGrid w:val="0"/>
        </w:rPr>
        <w:t xml:space="preserve"> и *</w:t>
      </w:r>
      <w:r w:rsidRPr="00146638">
        <w:rPr>
          <w:noProof/>
          <w:snapToGrid w:val="0"/>
        </w:rPr>
        <w:t>96199-09</w:t>
      </w:r>
      <w:r w:rsidR="00B30878">
        <w:rPr>
          <w:noProof/>
          <w:snapToGrid w:val="0"/>
          <w:lang w:val="en-US"/>
        </w:rPr>
        <w:t xml:space="preserve"> </w:t>
      </w:r>
      <w:r w:rsidR="00B30878">
        <w:rPr>
          <w:noProof/>
          <w:snapToGrid w:val="0"/>
        </w:rPr>
        <w:t xml:space="preserve"> или </w:t>
      </w:r>
      <w:r w:rsidRPr="00146638">
        <w:rPr>
          <w:noProof/>
          <w:snapToGrid w:val="0"/>
        </w:rPr>
        <w:t>96200-09</w:t>
      </w:r>
      <w:r w:rsidR="00B30878">
        <w:rPr>
          <w:noProof/>
          <w:snapToGrid w:val="0"/>
        </w:rPr>
        <w:t xml:space="preserve"> или</w:t>
      </w:r>
      <w:r w:rsidRPr="00146638">
        <w:rPr>
          <w:noProof/>
          <w:snapToGrid w:val="0"/>
        </w:rPr>
        <w:t xml:space="preserve"> 96197-09</w:t>
      </w:r>
      <w:r>
        <w:rPr>
          <w:noProof/>
          <w:snapToGrid w:val="0"/>
        </w:rPr>
        <w:t>,</w:t>
      </w:r>
      <w:r w:rsidRPr="00E80AA3">
        <w:rPr>
          <w:noProof/>
          <w:snapToGrid w:val="0"/>
        </w:rPr>
        <w:t xml:space="preserve"> се кодират само при минимум тридневен курс на лечение, като в ИЗ се посочва вида, дозата и курса на лечение.</w:t>
      </w:r>
    </w:p>
    <w:p w:rsidR="002A7045" w:rsidRPr="002A7045" w:rsidRDefault="002A7045" w:rsidP="002A7045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lastRenderedPageBreak/>
        <w:t xml:space="preserve">Основна процедура </w:t>
      </w:r>
      <w:r>
        <w:t>92191-00</w:t>
      </w:r>
      <w:r>
        <w:rPr>
          <w:noProof/>
        </w:rPr>
        <w:t xml:space="preserve"> </w:t>
      </w:r>
      <w:r w:rsidR="003B25CC">
        <w:rPr>
          <w:noProof/>
        </w:rPr>
        <w:t xml:space="preserve">и 92191-01 </w:t>
      </w:r>
      <w:r>
        <w:rPr>
          <w:noProof/>
        </w:rPr>
        <w:t xml:space="preserve">се осъществява при необходимост и се прилага при диагностициране на </w:t>
      </w:r>
      <w:r w:rsidR="00AF1194">
        <w:rPr>
          <w:noProof/>
          <w:lang w:val="en-US"/>
        </w:rPr>
        <w:t>Covid 19</w:t>
      </w:r>
      <w:r>
        <w:rPr>
          <w:noProof/>
        </w:rPr>
        <w:t>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1D3E98" w:rsidRPr="00E80AA3" w:rsidRDefault="001D3E98" w:rsidP="001D3E98">
      <w:pPr>
        <w:pStyle w:val="Body"/>
        <w:widowControl w:val="0"/>
        <w:spacing w:before="0" w:line="240" w:lineRule="auto"/>
        <w:ind w:firstLine="513"/>
        <w:rPr>
          <w:szCs w:val="24"/>
        </w:rPr>
      </w:pPr>
      <w:r w:rsidRPr="00E80AA3">
        <w:t>Клиничната пътека се счита за завършена,</w:t>
      </w:r>
      <w:r w:rsidRPr="00E80AA3">
        <w:rPr>
          <w:rFonts w:ascii="All Times New Roman" w:hAnsi="All Times New Roman" w:cs="All Times New Roman"/>
        </w:rPr>
        <w:t xml:space="preserve"> </w:t>
      </w:r>
      <w:r w:rsidRPr="00E80AA3">
        <w:rPr>
          <w:szCs w:val="24"/>
        </w:rPr>
        <w:t>ако са приложени ехографски протокол</w:t>
      </w:r>
      <w:r>
        <w:rPr>
          <w:szCs w:val="24"/>
          <w:lang w:val="en-US"/>
        </w:rPr>
        <w:t xml:space="preserve"> </w:t>
      </w:r>
      <w:r w:rsidRPr="00E80AA3">
        <w:rPr>
          <w:szCs w:val="24"/>
        </w:rPr>
        <w:t>ендоскопски протокол и/или снимка от друго изобразяващо изследване – за основните процедури, с които се отчита пътеката.</w:t>
      </w:r>
    </w:p>
    <w:p w:rsidR="00A32329" w:rsidRPr="00842E01" w:rsidRDefault="00A32329" w:rsidP="00A32329">
      <w:pPr>
        <w:keepNext/>
        <w:keepLines/>
        <w:ind w:firstLine="567"/>
        <w:jc w:val="both"/>
        <w:rPr>
          <w:rFonts w:ascii="Arial" w:hAnsi="Arial" w:cs="Arial"/>
          <w:color w:val="000000"/>
          <w:sz w:val="22"/>
          <w:szCs w:val="20"/>
          <w:lang w:val="bg-BG"/>
        </w:rPr>
      </w:pPr>
      <w:r w:rsidRPr="00842E01">
        <w:rPr>
          <w:rFonts w:ascii="Arial" w:hAnsi="Arial" w:cs="Arial"/>
          <w:color w:val="000000"/>
          <w:sz w:val="22"/>
          <w:szCs w:val="20"/>
          <w:lang w:val="bg-BG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842E01">
        <w:rPr>
          <w:rFonts w:ascii="Arial" w:hAnsi="Arial" w:cs="Arial"/>
          <w:color w:val="000000"/>
          <w:sz w:val="22"/>
          <w:szCs w:val="20"/>
          <w:lang w:val="en-US"/>
        </w:rPr>
        <w:t xml:space="preserve"> </w:t>
      </w:r>
      <w:r w:rsidRPr="00842E01">
        <w:rPr>
          <w:rFonts w:ascii="Arial" w:hAnsi="Arial" w:cs="Arial"/>
          <w:color w:val="000000"/>
          <w:sz w:val="22"/>
          <w:szCs w:val="20"/>
          <w:lang w:val="bg-BG"/>
        </w:rPr>
        <w:t xml:space="preserve">КП. </w:t>
      </w:r>
    </w:p>
    <w:p w:rsidR="00A32329" w:rsidRPr="00E80AA3" w:rsidRDefault="00A32329" w:rsidP="00A32329">
      <w:pPr>
        <w:pStyle w:val="Body"/>
        <w:widowControl w:val="0"/>
        <w:spacing w:before="0" w:line="240" w:lineRule="auto"/>
        <w:ind w:firstLine="513"/>
        <w:rPr>
          <w:szCs w:val="24"/>
        </w:rPr>
      </w:pPr>
      <w:r w:rsidRPr="00842E01">
        <w:rPr>
          <w:rFonts w:cs="Arial"/>
          <w:color w:val="00000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842E01">
        <w:rPr>
          <w:rFonts w:cs="Arial"/>
          <w:color w:val="000000"/>
          <w:lang w:val="en-US"/>
        </w:rPr>
        <w:t xml:space="preserve"> </w:t>
      </w:r>
      <w:r w:rsidRPr="00842E01">
        <w:rPr>
          <w:rFonts w:cs="Arial"/>
          <w:color w:val="000000"/>
        </w:rPr>
        <w:t>КП.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  <w:snapToGrid w:val="0"/>
        </w:rPr>
      </w:pPr>
    </w:p>
    <w:p w:rsidR="00815E04" w:rsidRPr="000F7506" w:rsidRDefault="001860DB" w:rsidP="00815E04">
      <w:pPr>
        <w:pStyle w:val="Body"/>
        <w:spacing w:before="0" w:line="240" w:lineRule="auto"/>
        <w:ind w:firstLine="0"/>
        <w:rPr>
          <w:b/>
          <w:szCs w:val="24"/>
          <w:u w:val="single"/>
        </w:rPr>
      </w:pPr>
      <w:r>
        <w:rPr>
          <w:b/>
          <w:szCs w:val="24"/>
        </w:rPr>
        <w:t xml:space="preserve">4. </w:t>
      </w:r>
      <w:r w:rsidR="00815E04" w:rsidRPr="000F7506">
        <w:rPr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noProof/>
        </w:rPr>
      </w:pPr>
      <w:r w:rsidRPr="009C4442">
        <w:rPr>
          <w:b/>
          <w:noProof/>
          <w:color w:val="000000"/>
          <w:lang w:val="ru-RU"/>
        </w:rPr>
        <w:t>Клиничната пътека се изпълнява в обхвата на медицинската специалност "Хирургия", осъществявана най-малко на първо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медицинската специалност "Детска 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"Педиатрия", осъществявана най-малко на второ ниво на компетентност, съгласно медицински стандарт "Педиатрия", от обхвата на медицинската специалност "Детска гастроентерология", осъществявана най-малко на второ ниво на компетентност, съгласно медицински стандарт "Педиатрия".</w:t>
      </w:r>
      <w:r w:rsidRPr="009C4442">
        <w:rPr>
          <w:b/>
          <w:noProof/>
        </w:rPr>
        <w:t xml:space="preserve"> </w:t>
      </w:r>
      <w:r w:rsidRPr="009C4442">
        <w:rPr>
          <w:noProof/>
          <w:color w:val="000000"/>
          <w:lang w:val="ru-RU"/>
        </w:rPr>
        <w:t>Изискванията за наличие на задължителни звена, апаратура и специалисти са в</w:t>
      </w:r>
      <w:r w:rsidRPr="009C4442">
        <w:rPr>
          <w:noProof/>
          <w:color w:val="000000"/>
        </w:rPr>
        <w:t xml:space="preserve"> съответствие с посочените медицински стандарти.</w:t>
      </w:r>
      <w:r w:rsidRPr="000F7506">
        <w:rPr>
          <w:noProof/>
          <w:color w:val="000000"/>
        </w:rPr>
        <w:t xml:space="preserve"> </w:t>
      </w:r>
      <w:r w:rsidRPr="000F7506">
        <w:rPr>
          <w:noProof/>
        </w:rPr>
        <w:t xml:space="preserve"> </w:t>
      </w:r>
    </w:p>
    <w:p w:rsidR="00815E04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</w:p>
    <w:p w:rsidR="00815E04" w:rsidRPr="000F7506" w:rsidRDefault="00853D2F" w:rsidP="00815E04">
      <w:pPr>
        <w:pStyle w:val="Body"/>
        <w:spacing w:before="0" w:line="240" w:lineRule="auto"/>
        <w:ind w:firstLine="0"/>
        <w:rPr>
          <w:b/>
          <w:noProof/>
        </w:rPr>
      </w:pPr>
      <w:r>
        <w:rPr>
          <w:b/>
          <w:noProof/>
          <w:lang w:val="ru-RU"/>
        </w:rPr>
        <w:t xml:space="preserve">а) </w:t>
      </w:r>
      <w:r w:rsidR="00815E04" w:rsidRPr="000F7506">
        <w:rPr>
          <w:b/>
          <w:noProof/>
        </w:rPr>
        <w:t>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815E04" w:rsidRDefault="00815E04" w:rsidP="00815E04">
      <w:pPr>
        <w:pStyle w:val="Body"/>
        <w:spacing w:before="0" w:line="240" w:lineRule="auto"/>
        <w:ind w:firstLine="0"/>
        <w:rPr>
          <w:noProof/>
          <w:lang w:val="ru-RU"/>
        </w:rPr>
      </w:pPr>
      <w:r w:rsidRPr="000F7506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0F7506">
        <w:rPr>
          <w:bCs/>
          <w:noProof/>
        </w:rPr>
        <w:t xml:space="preserve">с друго лечебно заведение </w:t>
      </w:r>
      <w:r w:rsidRPr="000F7506">
        <w:rPr>
          <w:noProof/>
        </w:rPr>
        <w:t xml:space="preserve">за </w:t>
      </w:r>
      <w:r w:rsidRPr="000F7506">
        <w:t>извънболнична или болнична помощ</w:t>
      </w:r>
      <w:r w:rsidRPr="000F7506">
        <w:rPr>
          <w:noProof/>
        </w:rPr>
        <w:t>, разположени на територията му</w:t>
      </w:r>
      <w:r w:rsidRPr="000F7506">
        <w:rPr>
          <w:noProof/>
          <w:lang w:val="ru-RU"/>
        </w:rPr>
        <w:t xml:space="preserve"> и имащо договор с НЗОК.</w:t>
      </w:r>
    </w:p>
    <w:p w:rsidR="00A656F7" w:rsidRPr="000F7506" w:rsidRDefault="00A656F7" w:rsidP="00815E04">
      <w:pPr>
        <w:pStyle w:val="Body"/>
        <w:spacing w:before="0" w:line="240" w:lineRule="auto"/>
        <w:ind w:firstLine="0"/>
        <w:rPr>
          <w:noProof/>
          <w:lang w:val="ru-RU"/>
        </w:rPr>
      </w:pPr>
    </w:p>
    <w:tbl>
      <w:tblPr>
        <w:tblW w:w="8975" w:type="dxa"/>
        <w:jc w:val="center"/>
        <w:tblInd w:w="-1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975"/>
      </w:tblGrid>
      <w:tr w:rsidR="00815E04" w:rsidRPr="000F7506" w:rsidTr="00A55D42">
        <w:trPr>
          <w:jc w:val="center"/>
        </w:trPr>
        <w:tc>
          <w:tcPr>
            <w:tcW w:w="8975" w:type="dxa"/>
          </w:tcPr>
          <w:p w:rsidR="00815E04" w:rsidRPr="000F7506" w:rsidRDefault="00815E04" w:rsidP="00121FA5">
            <w:pPr>
              <w:pStyle w:val="Heading2"/>
              <w:keepNext w:val="0"/>
              <w:ind w:left="-1809" w:right="-1891"/>
              <w:rPr>
                <w:rFonts w:ascii="Arial" w:hAnsi="Arial" w:cs="Arial"/>
                <w:b/>
                <w:sz w:val="20"/>
                <w:szCs w:val="20"/>
              </w:rPr>
            </w:pPr>
            <w:r w:rsidRPr="000F7506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815E04" w:rsidRPr="000F7506" w:rsidTr="00A55D42">
        <w:trPr>
          <w:jc w:val="center"/>
        </w:trPr>
        <w:tc>
          <w:tcPr>
            <w:tcW w:w="8975" w:type="dxa"/>
            <w:vAlign w:val="center"/>
          </w:tcPr>
          <w:p w:rsidR="00815E04" w:rsidRPr="000F7506" w:rsidRDefault="00815E04" w:rsidP="005F384B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1. Клиника/отделение по хирургия</w:t>
            </w:r>
          </w:p>
          <w:p w:rsidR="00815E04" w:rsidRPr="000F7506" w:rsidRDefault="00815E04" w:rsidP="00121FA5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или</w:t>
            </w:r>
          </w:p>
          <w:p w:rsidR="00815E04" w:rsidRPr="000F7506" w:rsidRDefault="00815E04" w:rsidP="00121FA5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Клиника/отделение по детска гастроентерология </w:t>
            </w:r>
          </w:p>
          <w:p w:rsidR="00815E04" w:rsidRPr="000F7506" w:rsidRDefault="00815E04" w:rsidP="00121FA5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или</w:t>
            </w:r>
          </w:p>
          <w:p w:rsidR="00815E04" w:rsidRPr="000F7506" w:rsidRDefault="00815E04" w:rsidP="00121FA5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педиатрия</w:t>
            </w:r>
          </w:p>
          <w:p w:rsidR="00815E04" w:rsidRPr="000F7506" w:rsidRDefault="00815E04" w:rsidP="00121FA5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или </w:t>
            </w:r>
          </w:p>
          <w:p w:rsidR="00815E04" w:rsidRPr="000F7506" w:rsidRDefault="00815E04" w:rsidP="00121FA5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Клиника/отделение по детска хирургия</w:t>
            </w:r>
          </w:p>
        </w:tc>
      </w:tr>
      <w:tr w:rsidR="00815E04" w:rsidRPr="000F7506" w:rsidTr="00A55D42">
        <w:trPr>
          <w:jc w:val="center"/>
        </w:trPr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121FA5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2. Клинична лаборатория</w:t>
            </w:r>
          </w:p>
        </w:tc>
      </w:tr>
      <w:tr w:rsidR="00815E04" w:rsidRPr="000F7506" w:rsidTr="00A55D42">
        <w:trPr>
          <w:jc w:val="center"/>
        </w:trPr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A55D42" w:rsidP="00121FA5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="00815E04" w:rsidRPr="000F7506">
              <w:rPr>
                <w:rFonts w:ascii="Arial" w:hAnsi="Arial" w:cs="Arial"/>
                <w:sz w:val="20"/>
                <w:szCs w:val="20"/>
                <w:lang w:val="ru-RU"/>
              </w:rPr>
              <w:t>. Видеоендоскопска апаратура за горна и долна ендоскопия</w:t>
            </w:r>
          </w:p>
        </w:tc>
      </w:tr>
      <w:tr w:rsidR="00815E04" w:rsidRPr="000F7506" w:rsidTr="00A55D42">
        <w:trPr>
          <w:jc w:val="center"/>
        </w:trPr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A55D42" w:rsidP="00121FA5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4</w:t>
            </w:r>
            <w:r w:rsidR="00815E04" w:rsidRPr="000F7506">
              <w:rPr>
                <w:rFonts w:ascii="Arial" w:hAnsi="Arial" w:cs="Arial"/>
                <w:sz w:val="20"/>
                <w:szCs w:val="20"/>
                <w:lang w:val="ru-RU"/>
              </w:rPr>
              <w:t>. УЗ апарат среден клас, с възможност за Доплер ехографии</w:t>
            </w:r>
          </w:p>
        </w:tc>
      </w:tr>
      <w:tr w:rsidR="00815E04" w:rsidRPr="000F7506" w:rsidTr="00A55D42">
        <w:trPr>
          <w:jc w:val="center"/>
        </w:trPr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A55D42" w:rsidP="00121FA5">
            <w:pPr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ru-RU"/>
              </w:rPr>
              <w:t>5</w:t>
            </w:r>
            <w:r w:rsidR="00815E04" w:rsidRPr="000F7506">
              <w:rPr>
                <w:rFonts w:ascii="Arial" w:eastAsia="Calibri" w:hAnsi="Arial" w:cs="Arial"/>
                <w:sz w:val="20"/>
                <w:szCs w:val="20"/>
                <w:lang w:val="ru-RU"/>
              </w:rPr>
              <w:t>. Анестезиологичен екип</w:t>
            </w:r>
          </w:p>
        </w:tc>
      </w:tr>
    </w:tbl>
    <w:p w:rsidR="00815E04" w:rsidRPr="000F7506" w:rsidRDefault="00815E04" w:rsidP="00815E04">
      <w:pPr>
        <w:jc w:val="both"/>
        <w:rPr>
          <w:rFonts w:ascii="Arial" w:hAnsi="Arial" w:cs="Arial"/>
          <w:b/>
          <w:bCs/>
          <w:noProof/>
          <w:sz w:val="22"/>
          <w:szCs w:val="22"/>
          <w:lang w:val="bg-BG"/>
        </w:rPr>
      </w:pPr>
    </w:p>
    <w:p w:rsidR="00815E04" w:rsidRPr="000F7506" w:rsidRDefault="00815E04" w:rsidP="00815E04">
      <w:pPr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0F7506">
        <w:rPr>
          <w:rFonts w:ascii="Arial" w:hAnsi="Arial" w:cs="Arial"/>
          <w:b/>
          <w:noProof/>
          <w:sz w:val="22"/>
          <w:szCs w:val="22"/>
          <w:lang w:val="ru-RU"/>
        </w:rPr>
        <w:lastRenderedPageBreak/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815E04" w:rsidRPr="000F7506" w:rsidRDefault="00815E04" w:rsidP="00815E04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  <w:r w:rsidRPr="000F7506">
        <w:rPr>
          <w:rFonts w:ascii="Arial" w:hAnsi="Arial" w:cs="Arial"/>
          <w:bCs/>
          <w:noProof/>
          <w:sz w:val="22"/>
          <w:szCs w:val="22"/>
          <w:lang w:val="ru-RU"/>
        </w:rPr>
        <w:t xml:space="preserve">Лечебното заведение за болнична помощ </w:t>
      </w:r>
      <w:r w:rsidRPr="000F7506">
        <w:rPr>
          <w:rFonts w:ascii="Arial" w:hAnsi="Arial" w:cs="Arial"/>
          <w:bCs/>
          <w:noProof/>
          <w:sz w:val="22"/>
          <w:szCs w:val="22"/>
          <w:lang w:val="bg-BG"/>
        </w:rPr>
        <w:t xml:space="preserve">може да осигури дейността на съответното </w:t>
      </w:r>
      <w:r w:rsidRPr="000F7506">
        <w:rPr>
          <w:rFonts w:ascii="Arial" w:hAnsi="Arial" w:cs="Arial"/>
          <w:bCs/>
          <w:noProof/>
          <w:sz w:val="22"/>
          <w:szCs w:val="22"/>
          <w:lang w:val="ru-RU"/>
        </w:rPr>
        <w:t>задължителн</w:t>
      </w:r>
      <w:r w:rsidRPr="000F7506">
        <w:rPr>
          <w:rFonts w:ascii="Arial" w:hAnsi="Arial" w:cs="Arial"/>
          <w:bCs/>
          <w:noProof/>
          <w:sz w:val="22"/>
          <w:szCs w:val="22"/>
          <w:lang w:val="bg-BG"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815E04" w:rsidRPr="000F7506" w:rsidRDefault="00815E04" w:rsidP="00815E04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</w:p>
    <w:tbl>
      <w:tblPr>
        <w:tblW w:w="8834" w:type="dxa"/>
        <w:jc w:val="center"/>
        <w:tblInd w:w="-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34"/>
      </w:tblGrid>
      <w:tr w:rsidR="00815E04" w:rsidRPr="000F7506" w:rsidTr="00A55D42">
        <w:trPr>
          <w:jc w:val="center"/>
        </w:trPr>
        <w:tc>
          <w:tcPr>
            <w:tcW w:w="8834" w:type="dxa"/>
          </w:tcPr>
          <w:p w:rsidR="00815E04" w:rsidRPr="000F7506" w:rsidRDefault="00815E04" w:rsidP="00121FA5">
            <w:pPr>
              <w:pStyle w:val="Heading2"/>
              <w:keepNext w:val="0"/>
              <w:rPr>
                <w:rFonts w:ascii="Arial" w:hAnsi="Arial" w:cs="Arial"/>
                <w:b/>
                <w:sz w:val="20"/>
              </w:rPr>
            </w:pPr>
            <w:r w:rsidRPr="000F7506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815E04" w:rsidRPr="000F7506" w:rsidTr="00A55D42">
        <w:trPr>
          <w:jc w:val="center"/>
        </w:trPr>
        <w:tc>
          <w:tcPr>
            <w:tcW w:w="8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A55D42" w:rsidP="00121FA5">
            <w:pPr>
              <w:widowControl w:val="0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bg-BG"/>
              </w:rPr>
              <w:t xml:space="preserve">1. </w:t>
            </w:r>
            <w:r w:rsidR="00815E04" w:rsidRPr="000F7506">
              <w:rPr>
                <w:rFonts w:ascii="Arial" w:hAnsi="Arial" w:cs="Arial"/>
                <w:sz w:val="20"/>
                <w:lang w:val="bg-BG"/>
              </w:rPr>
              <w:t>Л</w:t>
            </w:r>
            <w:r w:rsidR="00815E04" w:rsidRPr="000F7506">
              <w:rPr>
                <w:rFonts w:ascii="Arial" w:hAnsi="Arial" w:cs="Arial"/>
                <w:sz w:val="20"/>
                <w:lang w:val="ru-RU"/>
              </w:rPr>
              <w:t>аборатория (отделение) по клинична патология</w:t>
            </w:r>
          </w:p>
        </w:tc>
      </w:tr>
      <w:tr w:rsidR="00A55D42" w:rsidRPr="000F7506" w:rsidTr="00A55D42">
        <w:trPr>
          <w:jc w:val="center"/>
        </w:trPr>
        <w:tc>
          <w:tcPr>
            <w:tcW w:w="8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D42" w:rsidRPr="000F7506" w:rsidRDefault="00A55D42" w:rsidP="00121FA5">
            <w:pPr>
              <w:widowControl w:val="0"/>
              <w:rPr>
                <w:rFonts w:ascii="Arial" w:hAnsi="Arial" w:cs="Arial"/>
                <w:sz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2. </w:t>
            </w:r>
            <w:r w:rsidR="00267995">
              <w:rPr>
                <w:rFonts w:ascii="Arial" w:hAnsi="Arial" w:cs="Arial"/>
                <w:sz w:val="20"/>
                <w:szCs w:val="20"/>
                <w:lang w:val="ru-RU"/>
              </w:rPr>
              <w:t xml:space="preserve">Структура </w:t>
            </w:r>
            <w:r w:rsidR="00000678">
              <w:rPr>
                <w:rFonts w:ascii="Arial" w:hAnsi="Arial" w:cs="Arial"/>
                <w:sz w:val="20"/>
                <w:szCs w:val="20"/>
                <w:lang w:val="ru-RU"/>
              </w:rPr>
              <w:t xml:space="preserve">по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Образна диагностика</w:t>
            </w:r>
          </w:p>
        </w:tc>
      </w:tr>
    </w:tbl>
    <w:p w:rsidR="00815E04" w:rsidRPr="000F7506" w:rsidRDefault="00815E04" w:rsidP="00815E04">
      <w:pPr>
        <w:pStyle w:val="BodyCharCharCharChar"/>
        <w:spacing w:before="0" w:line="240" w:lineRule="auto"/>
        <w:ind w:firstLine="0"/>
        <w:rPr>
          <w:b/>
          <w:noProof/>
          <w:lang w:val="ru-RU"/>
        </w:rPr>
      </w:pPr>
    </w:p>
    <w:p w:rsidR="00815E04" w:rsidRPr="000F7506" w:rsidRDefault="00815E04" w:rsidP="00815E04">
      <w:pPr>
        <w:jc w:val="center"/>
        <w:rPr>
          <w:rFonts w:ascii="Arial" w:hAnsi="Arial"/>
          <w:b/>
          <w:noProof/>
          <w:sz w:val="22"/>
          <w:szCs w:val="22"/>
          <w:lang w:val="bg-BG"/>
        </w:rPr>
      </w:pPr>
      <w:r w:rsidRPr="000F7506">
        <w:rPr>
          <w:rFonts w:ascii="Arial" w:hAnsi="Arial"/>
          <w:b/>
          <w:noProof/>
          <w:sz w:val="22"/>
          <w:szCs w:val="22"/>
          <w:lang w:val="bg-BG"/>
        </w:rPr>
        <w:t xml:space="preserve">Скъпоструващи медицински изделия за провеждане на лечение </w:t>
      </w:r>
    </w:p>
    <w:tbl>
      <w:tblPr>
        <w:tblW w:w="9012" w:type="dxa"/>
        <w:jc w:val="center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1"/>
        <w:gridCol w:w="4411"/>
      </w:tblGrid>
      <w:tr w:rsidR="00815E04" w:rsidRPr="000F7506" w:rsidTr="00121FA5">
        <w:trPr>
          <w:trHeight w:val="198"/>
          <w:tblHeader/>
          <w:jc w:val="center"/>
        </w:trPr>
        <w:tc>
          <w:tcPr>
            <w:tcW w:w="4601" w:type="dxa"/>
          </w:tcPr>
          <w:p w:rsidR="00815E04" w:rsidRPr="000F7506" w:rsidRDefault="00815E04" w:rsidP="00121FA5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Сет за лигиране еднократен</w:t>
            </w:r>
          </w:p>
        </w:tc>
        <w:tc>
          <w:tcPr>
            <w:tcW w:w="4411" w:type="dxa"/>
          </w:tcPr>
          <w:p w:rsidR="00815E04" w:rsidRPr="000F7506" w:rsidRDefault="00815E04" w:rsidP="00121FA5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815E04" w:rsidRPr="000F7506" w:rsidTr="00121FA5">
        <w:trPr>
          <w:trHeight w:val="198"/>
          <w:tblHeader/>
          <w:jc w:val="center"/>
        </w:trPr>
        <w:tc>
          <w:tcPr>
            <w:tcW w:w="4601" w:type="dxa"/>
          </w:tcPr>
          <w:p w:rsidR="00815E04" w:rsidRPr="000F7506" w:rsidRDefault="00815E04" w:rsidP="00121FA5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Игла ендоскопска еднократна</w:t>
            </w:r>
          </w:p>
        </w:tc>
        <w:tc>
          <w:tcPr>
            <w:tcW w:w="4411" w:type="dxa"/>
          </w:tcPr>
          <w:p w:rsidR="00815E04" w:rsidRPr="000F7506" w:rsidRDefault="00815E04" w:rsidP="00121FA5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815E04" w:rsidRPr="000F7506" w:rsidTr="00121FA5">
        <w:trPr>
          <w:trHeight w:val="198"/>
          <w:tblHeader/>
          <w:jc w:val="center"/>
        </w:trPr>
        <w:tc>
          <w:tcPr>
            <w:tcW w:w="4601" w:type="dxa"/>
          </w:tcPr>
          <w:p w:rsidR="00815E04" w:rsidRPr="000F7506" w:rsidRDefault="00815E04" w:rsidP="00121FA5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Клипси за ендоскопска хемостаза</w:t>
            </w:r>
          </w:p>
        </w:tc>
        <w:tc>
          <w:tcPr>
            <w:tcW w:w="4411" w:type="dxa"/>
          </w:tcPr>
          <w:p w:rsidR="00815E04" w:rsidRPr="000F7506" w:rsidRDefault="00815E04" w:rsidP="00121FA5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</w:tbl>
    <w:p w:rsidR="00815E04" w:rsidRPr="000F7506" w:rsidRDefault="00815E04" w:rsidP="00815E04">
      <w:pPr>
        <w:pStyle w:val="BodyCharCharCharChar"/>
        <w:spacing w:before="0" w:line="240" w:lineRule="auto"/>
        <w:ind w:firstLine="0"/>
        <w:rPr>
          <w:b/>
          <w:noProof/>
          <w:lang w:val="en-US"/>
        </w:rPr>
      </w:pPr>
    </w:p>
    <w:p w:rsidR="00815E04" w:rsidRPr="000F7506" w:rsidRDefault="00853D2F" w:rsidP="00815E04">
      <w:pPr>
        <w:pStyle w:val="Body"/>
        <w:spacing w:before="0" w:line="240" w:lineRule="auto"/>
        <w:ind w:firstLine="0"/>
        <w:rPr>
          <w:b/>
          <w:noProof/>
        </w:rPr>
      </w:pPr>
      <w:r>
        <w:rPr>
          <w:b/>
          <w:noProof/>
        </w:rPr>
        <w:t xml:space="preserve">б) </w:t>
      </w:r>
      <w:r w:rsidR="00815E04" w:rsidRPr="000F7506">
        <w:rPr>
          <w:b/>
          <w:noProof/>
        </w:rPr>
        <w:t>Необходими специалисти за лечение на пациенти на възраст под 18 години</w:t>
      </w:r>
      <w:r w:rsidR="00D6516A">
        <w:rPr>
          <w:b/>
          <w:noProof/>
        </w:rPr>
        <w:t>. Изисквания за допълнителна квалификация</w:t>
      </w:r>
      <w:bookmarkStart w:id="0" w:name="_GoBack"/>
      <w:bookmarkEnd w:id="0"/>
      <w:r w:rsidR="00815E04" w:rsidRPr="000F7506">
        <w:rPr>
          <w:b/>
          <w:noProof/>
        </w:rPr>
        <w:t>:</w:t>
      </w:r>
    </w:p>
    <w:p w:rsidR="00815E04" w:rsidRPr="000F7506" w:rsidRDefault="00815E04" w:rsidP="00815E04">
      <w:pPr>
        <w:pStyle w:val="BodyChar"/>
        <w:spacing w:before="0" w:line="240" w:lineRule="auto"/>
        <w:ind w:left="709" w:hanging="142"/>
      </w:pPr>
      <w:r w:rsidRPr="000F7506">
        <w:t xml:space="preserve">- лекари със специалност </w:t>
      </w:r>
      <w:r>
        <w:t>педиатрия</w:t>
      </w:r>
      <w:r w:rsidRPr="000F7506">
        <w:t xml:space="preserve"> – минимум четирима, от които поне един със специалност по детска гастроентерология;</w:t>
      </w:r>
    </w:p>
    <w:p w:rsidR="00815E04" w:rsidRPr="000F7506" w:rsidRDefault="00815E04" w:rsidP="00815E04">
      <w:pPr>
        <w:pStyle w:val="BodyChar"/>
        <w:spacing w:before="0" w:line="240" w:lineRule="auto"/>
        <w:ind w:firstLine="426"/>
        <w:rPr>
          <w:szCs w:val="22"/>
        </w:rPr>
      </w:pPr>
      <w:r w:rsidRPr="000F7506">
        <w:rPr>
          <w:szCs w:val="22"/>
        </w:rPr>
        <w:t>или</w:t>
      </w:r>
    </w:p>
    <w:p w:rsidR="00121FA5" w:rsidRPr="00AB3E98" w:rsidRDefault="00815E04" w:rsidP="00AB3E98">
      <w:pPr>
        <w:pStyle w:val="BodyChar"/>
        <w:spacing w:before="0" w:line="240" w:lineRule="auto"/>
        <w:ind w:left="709" w:firstLine="0"/>
        <w:rPr>
          <w:b/>
          <w:szCs w:val="22"/>
        </w:rPr>
      </w:pPr>
      <w:r w:rsidRPr="00EC3B3E">
        <w:t>лекари със специалност по детска хирургия – минимум двама, единият от които може да е със специалност по обща хирургия;</w:t>
      </w:r>
      <w:r w:rsidR="00121FA5" w:rsidRPr="006C3823">
        <w:t>;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t>-</w:t>
      </w:r>
      <w:r w:rsidRPr="000F7506">
        <w:tab/>
        <w:t>лекар със специалност по клинична лаборатория;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 xml:space="preserve">- </w:t>
      </w:r>
      <w:r w:rsidRPr="000F7506">
        <w:t>лекар със специалност по</w:t>
      </w:r>
      <w:r w:rsidRPr="000F7506">
        <w:rPr>
          <w:lang w:val="ru-RU"/>
        </w:rPr>
        <w:t xml:space="preserve"> </w:t>
      </w:r>
      <w:r w:rsidRPr="000F7506">
        <w:t>анестезиология и интензивно лечение;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-</w:t>
      </w:r>
      <w:r w:rsidRPr="000F7506">
        <w:tab/>
        <w:t>лекар със специалност по образна диагностика.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От работещите в ЛЗ лекари-специалисти минимум един с квалификация по „Конвенционална ехография – първо ниво“ и минимум един с квалификация по „Интервенционална гастроинтестинална ендоскопия – второ ниво“.</w:t>
      </w:r>
      <w:r w:rsidRPr="00356197">
        <w:t xml:space="preserve"> Сертификат, издаден от отдел „Следдипломна квалификация” към Медицински университет или ВМА.</w:t>
      </w:r>
    </w:p>
    <w:p w:rsidR="00815E04" w:rsidRPr="000F7506" w:rsidRDefault="00815E04" w:rsidP="00815E04">
      <w:pPr>
        <w:pStyle w:val="Body"/>
        <w:keepNext/>
        <w:keepLines/>
        <w:spacing w:before="0" w:line="240" w:lineRule="auto"/>
        <w:ind w:firstLine="540"/>
        <w:rPr>
          <w:lang w:val="ru-RU"/>
        </w:rPr>
      </w:pPr>
      <w:r w:rsidRPr="000F7506">
        <w:t>При анамнеза от страна</w:t>
      </w:r>
      <w:r w:rsidRPr="000F7506">
        <w:rPr>
          <w:lang w:val="ru-RU"/>
        </w:rPr>
        <w:t xml:space="preserve"> </w:t>
      </w:r>
      <w:r w:rsidRPr="000F7506"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815E04" w:rsidRPr="000F7506" w:rsidRDefault="00815E04" w:rsidP="00815E04">
      <w:pPr>
        <w:pStyle w:val="BodyChar"/>
        <w:spacing w:before="0" w:line="240" w:lineRule="auto"/>
      </w:pPr>
    </w:p>
    <w:p w:rsidR="00815E04" w:rsidRPr="0088517A" w:rsidRDefault="005D7217" w:rsidP="00815E04">
      <w:pPr>
        <w:jc w:val="both"/>
        <w:rPr>
          <w:rFonts w:ascii="Arial" w:hAnsi="Arial" w:cs="Arial"/>
          <w:b/>
          <w:noProof/>
          <w:sz w:val="22"/>
          <w:szCs w:val="22"/>
          <w:u w:val="single"/>
          <w:lang w:val="bg-BG"/>
        </w:rPr>
      </w:pPr>
      <w:r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 xml:space="preserve">5. </w:t>
      </w:r>
      <w:r w:rsidR="00815E04" w:rsidRPr="00824C7A"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>ИНДИКАЦИИ</w:t>
      </w:r>
      <w:r w:rsidR="00815E04" w:rsidRPr="0088517A"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 xml:space="preserve"> ЗА ХОСПИТАЛИЗАЦИЯ И ЛЕЧЕНИЕ</w:t>
      </w:r>
    </w:p>
    <w:p w:rsidR="005D7217" w:rsidRDefault="00815E04" w:rsidP="005D7217">
      <w:pPr>
        <w:jc w:val="both"/>
        <w:rPr>
          <w:rFonts w:ascii="Arial" w:hAnsi="Arial"/>
          <w:b/>
          <w:sz w:val="22"/>
          <w:szCs w:val="20"/>
          <w:lang w:val="bg-BG"/>
        </w:rPr>
      </w:pPr>
      <w:r w:rsidRPr="0088517A">
        <w:rPr>
          <w:rFonts w:ascii="Arial" w:eastAsia="Calibri" w:hAnsi="Arial" w:cs="Arial"/>
          <w:b/>
          <w:noProof/>
          <w:snapToGrid w:val="0"/>
          <w:sz w:val="22"/>
          <w:szCs w:val="22"/>
          <w:lang w:val="bg-BG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5D7217" w:rsidRDefault="005D7217" w:rsidP="005D7217">
      <w:pPr>
        <w:jc w:val="both"/>
        <w:rPr>
          <w:rFonts w:ascii="Arial" w:hAnsi="Arial"/>
          <w:b/>
          <w:sz w:val="22"/>
          <w:szCs w:val="20"/>
          <w:lang w:val="bg-BG"/>
        </w:rPr>
      </w:pPr>
    </w:p>
    <w:p w:rsidR="00815E04" w:rsidRPr="005D7217" w:rsidRDefault="005D7217" w:rsidP="005D7217">
      <w:pPr>
        <w:jc w:val="both"/>
        <w:rPr>
          <w:rFonts w:ascii="Arial" w:hAnsi="Arial"/>
          <w:b/>
          <w:sz w:val="22"/>
          <w:szCs w:val="20"/>
          <w:lang w:val="bg-BG"/>
        </w:rPr>
      </w:pPr>
      <w:r>
        <w:rPr>
          <w:rFonts w:ascii="Arial" w:hAnsi="Arial"/>
          <w:b/>
          <w:sz w:val="22"/>
          <w:szCs w:val="20"/>
          <w:lang w:val="bg-BG"/>
        </w:rPr>
        <w:t xml:space="preserve">а) </w:t>
      </w:r>
      <w:r w:rsidR="00815E04" w:rsidRPr="0088517A">
        <w:rPr>
          <w:rFonts w:ascii="Arial" w:hAnsi="Arial" w:cs="Arial"/>
          <w:b/>
          <w:noProof/>
          <w:sz w:val="22"/>
          <w:szCs w:val="22"/>
          <w:lang w:val="bg-BG"/>
        </w:rPr>
        <w:t>ИНДИКАЦИИ ЗА ХОСПИТАЛИЗАЦИЯ</w:t>
      </w:r>
    </w:p>
    <w:p w:rsidR="00815E04" w:rsidRPr="000F7506" w:rsidRDefault="00815E04" w:rsidP="00815E04">
      <w:pPr>
        <w:ind w:firstLine="567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Диагностика и лечение на остър кръвоизлив от ГИТ с прояви на: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- хематемеза;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- мелена;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- хематохезия/ректорагия.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Индикация за спешна хоспитализация в хирургично отделение/клиника или ОАИЛ/КАИЛ:</w:t>
      </w:r>
    </w:p>
    <w:p w:rsidR="00815E04" w:rsidRPr="000F7506" w:rsidRDefault="00815E04" w:rsidP="00815E04">
      <w:pPr>
        <w:pStyle w:val="BodyChar"/>
        <w:spacing w:before="0" w:line="240" w:lineRule="auto"/>
        <w:ind w:firstLine="513"/>
      </w:pPr>
      <w:r w:rsidRPr="000F7506">
        <w:rPr>
          <w:b/>
        </w:rPr>
        <w:t xml:space="preserve">Остър кръвоизлив от ГИТ </w:t>
      </w:r>
      <w:r w:rsidRPr="000F7506">
        <w:t>при хемодинамично нестабилен пациент: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реанимационни мероприятия (ресусцитация);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провеждане на медикаментозно лечение с цел овладяване на кървенето;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 xml:space="preserve">ендоскопия с диагностична и терапевтична цел след хемодинамично стабилизиране (ако състоянието на болния позволява); 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lastRenderedPageBreak/>
        <w:t xml:space="preserve">- </w:t>
      </w:r>
      <w:r w:rsidRPr="000F7506">
        <w:t>оперативно лечение, ако е необходимо.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Лечението се води съвместно от хирург, реаниматор и гастроентеролог/интернист (владеещ методите на горна ендоскопия).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rPr>
          <w:rFonts w:cs="Arial"/>
          <w:b/>
          <w:snapToGrid w:val="0"/>
          <w:szCs w:val="22"/>
        </w:rPr>
      </w:pPr>
    </w:p>
    <w:p w:rsidR="00815E04" w:rsidRPr="0088517A" w:rsidRDefault="005D7217" w:rsidP="005D7217">
      <w:pPr>
        <w:jc w:val="both"/>
        <w:rPr>
          <w:rFonts w:ascii="Arial" w:hAnsi="Arial"/>
          <w:b/>
          <w:sz w:val="22"/>
          <w:szCs w:val="20"/>
          <w:lang w:val="bg-BG"/>
        </w:rPr>
      </w:pPr>
      <w:r>
        <w:rPr>
          <w:rFonts w:ascii="Arial" w:hAnsi="Arial"/>
          <w:b/>
          <w:sz w:val="22"/>
          <w:szCs w:val="20"/>
          <w:lang w:val="bg-BG"/>
        </w:rPr>
        <w:t xml:space="preserve">б) </w:t>
      </w:r>
      <w:r w:rsidR="00815E04" w:rsidRPr="0088517A">
        <w:rPr>
          <w:rFonts w:ascii="Arial" w:hAnsi="Arial"/>
          <w:b/>
          <w:sz w:val="22"/>
          <w:szCs w:val="20"/>
          <w:lang w:val="bg-BG"/>
        </w:rPr>
        <w:t>Прием и изготвяне на диагностично-лечебен план.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Биологичен материал за медико-диагностични изследвания се взема до 3-тия час от хоспитализацията. Ехография на коремни органи и ретроперитонеум се извършва до 24 час. от постъпването. В случаи на спешност ендоскопия се извършва до 24-72</w:t>
      </w:r>
      <w:r w:rsidRPr="000F7506">
        <w:rPr>
          <w:szCs w:val="22"/>
        </w:rPr>
        <w:t xml:space="preserve"> </w:t>
      </w:r>
      <w:r w:rsidRPr="000F7506">
        <w:t xml:space="preserve">часа от постъпването или по-късно при наличие на хемодинамична нестабилност. Контролни клинико-лабораторни изследвания </w:t>
      </w:r>
      <w:r w:rsidRPr="000F7506">
        <w:rPr>
          <w:szCs w:val="22"/>
        </w:rPr>
        <w:t>на патологично променените показатели се извършват по преценка до края на хоспитализацията.</w:t>
      </w:r>
      <w:r w:rsidRPr="000F7506">
        <w:t xml:space="preserve">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i/>
        </w:rPr>
      </w:pPr>
      <w:r w:rsidRPr="000F7506">
        <w:rPr>
          <w:b/>
          <w:i/>
        </w:rPr>
        <w:t xml:space="preserve">1. Първоначална оценка: </w:t>
      </w:r>
      <w:r w:rsidRPr="000F7506">
        <w:rPr>
          <w:b/>
          <w:i/>
          <w:lang w:val="ru-RU"/>
        </w:rPr>
        <w:t>извършва се от лекарите от БМП и екипите от спешните терапевтични и хирургични звена, както и от всеки лекар.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Анамнеза и физикално изследване, </w:t>
      </w:r>
      <w:r w:rsidRPr="000F7506">
        <w:rPr>
          <w:b/>
        </w:rPr>
        <w:t>ректално туширане.</w:t>
      </w:r>
    </w:p>
    <w:p w:rsidR="00815E04" w:rsidRPr="000F7506" w:rsidRDefault="00815E04" w:rsidP="00815E04">
      <w:pPr>
        <w:pStyle w:val="BodyChar"/>
        <w:numPr>
          <w:ilvl w:val="0"/>
          <w:numId w:val="1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rPr>
          <w:b/>
        </w:rPr>
        <w:t>Хематемеза, мелена, хематохезия, остро кървене от долния ГИТ.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</w:rPr>
      </w:pPr>
      <w:r w:rsidRPr="000F7506">
        <w:rPr>
          <w:b/>
        </w:rPr>
        <w:t>2. Клинико-лабораторни изследвания. Най-важното спешно изследване – хематокрит!</w:t>
      </w:r>
      <w:r w:rsidRPr="000F7506">
        <w:t xml:space="preserve"> На второ място </w:t>
      </w:r>
      <w:r w:rsidRPr="000F7506">
        <w:rPr>
          <w:b/>
        </w:rPr>
        <w:t>хемоглобин.</w:t>
      </w:r>
    </w:p>
    <w:p w:rsidR="00815E04" w:rsidRPr="000F7506" w:rsidRDefault="00815E04" w:rsidP="00815E04">
      <w:pPr>
        <w:ind w:firstLine="570"/>
        <w:rPr>
          <w:rFonts w:ascii="Arial" w:hAnsi="Arial"/>
          <w:sz w:val="22"/>
          <w:lang w:val="bg-BG"/>
        </w:rPr>
      </w:pPr>
      <w:r w:rsidRPr="000F7506">
        <w:rPr>
          <w:rFonts w:ascii="Arial" w:hAnsi="Arial"/>
          <w:sz w:val="22"/>
          <w:lang w:val="bg-BG"/>
        </w:rPr>
        <w:t>По преценка: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 xml:space="preserve">- </w:t>
      </w:r>
      <w:proofErr w:type="spellStart"/>
      <w:r w:rsidRPr="000F7506">
        <w:rPr>
          <w:lang w:val="ru-RU"/>
        </w:rPr>
        <w:t>хематология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пълно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изследване</w:t>
      </w:r>
      <w:proofErr w:type="spellEnd"/>
      <w:r w:rsidRPr="000F7506">
        <w:rPr>
          <w:lang w:val="ru-RU"/>
        </w:rPr>
        <w:t xml:space="preserve">: </w:t>
      </w:r>
      <w:proofErr w:type="spellStart"/>
      <w:r w:rsidRPr="000F7506">
        <w:rPr>
          <w:lang w:val="en-US"/>
        </w:rPr>
        <w:t>Hb</w:t>
      </w:r>
      <w:proofErr w:type="spellEnd"/>
      <w:r w:rsidRPr="000F7506">
        <w:rPr>
          <w:lang w:val="ru-RU"/>
        </w:rPr>
        <w:t xml:space="preserve">, </w:t>
      </w:r>
      <w:proofErr w:type="spellStart"/>
      <w:r w:rsidRPr="000F7506">
        <w:rPr>
          <w:lang w:val="en-US"/>
        </w:rPr>
        <w:t>Hct</w:t>
      </w:r>
      <w:proofErr w:type="spellEnd"/>
      <w:r w:rsidRPr="000F7506">
        <w:rPr>
          <w:lang w:val="ru-RU"/>
        </w:rPr>
        <w:t xml:space="preserve">, </w:t>
      </w:r>
      <w:proofErr w:type="spellStart"/>
      <w:r w:rsidRPr="000F7506">
        <w:rPr>
          <w:lang w:val="en-US"/>
        </w:rPr>
        <w:t>Er</w:t>
      </w:r>
      <w:proofErr w:type="spellEnd"/>
      <w:r w:rsidRPr="000F7506">
        <w:rPr>
          <w:lang w:val="ru-RU"/>
        </w:rPr>
        <w:t xml:space="preserve">, </w:t>
      </w:r>
      <w:proofErr w:type="spellStart"/>
      <w:r w:rsidRPr="000F7506">
        <w:rPr>
          <w:lang w:val="en-US"/>
        </w:rPr>
        <w:t>Leu</w:t>
      </w:r>
      <w:proofErr w:type="spellEnd"/>
      <w:r w:rsidRPr="000F7506">
        <w:rPr>
          <w:lang w:val="ru-RU"/>
        </w:rPr>
        <w:t xml:space="preserve">, </w:t>
      </w:r>
      <w:proofErr w:type="spellStart"/>
      <w:r w:rsidRPr="000F7506">
        <w:rPr>
          <w:lang w:val="en-US"/>
        </w:rPr>
        <w:t>Thr</w:t>
      </w:r>
      <w:proofErr w:type="spellEnd"/>
      <w:r w:rsidRPr="000F7506">
        <w:rPr>
          <w:lang w:val="ru-RU"/>
        </w:rPr>
        <w:t xml:space="preserve"> – </w:t>
      </w:r>
      <w:proofErr w:type="spellStart"/>
      <w:r w:rsidRPr="000F7506">
        <w:rPr>
          <w:lang w:val="ru-RU"/>
        </w:rPr>
        <w:t>възможно</w:t>
      </w:r>
      <w:proofErr w:type="spellEnd"/>
      <w:r w:rsidRPr="000F7506">
        <w:rPr>
          <w:lang w:val="ru-RU"/>
        </w:rPr>
        <w:t xml:space="preserve"> без динамика до 24-72 ч; 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електролити, АКР, кръвна захар;</w:t>
      </w:r>
    </w:p>
    <w:p w:rsidR="00815E04" w:rsidRPr="000F7506" w:rsidRDefault="00815E04" w:rsidP="00815E04">
      <w:pPr>
        <w:pStyle w:val="bodyt"/>
        <w:tabs>
          <w:tab w:val="clear" w:pos="1636"/>
          <w:tab w:val="clear" w:pos="2126"/>
        </w:tabs>
        <w:spacing w:before="0" w:after="0" w:line="240" w:lineRule="auto"/>
        <w:ind w:left="0" w:firstLine="570"/>
        <w:rPr>
          <w:sz w:val="20"/>
          <w:lang w:val="bg-BG"/>
        </w:rPr>
      </w:pPr>
      <w:r w:rsidRPr="000F7506">
        <w:rPr>
          <w:lang w:val="ru-RU"/>
        </w:rPr>
        <w:t xml:space="preserve">- бъбречна функция - урея /креатинин, </w:t>
      </w:r>
      <w:r w:rsidRPr="000F7506">
        <w:rPr>
          <w:lang w:val="bg-BG"/>
        </w:rPr>
        <w:t>пълно изследване на урина</w:t>
      </w:r>
      <w:r w:rsidRPr="000F7506">
        <w:rPr>
          <w:sz w:val="20"/>
          <w:lang w:val="bg-BG"/>
        </w:rPr>
        <w:t>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коагулация – фибриноген, протромбиново бреме (индекс,</w:t>
      </w:r>
      <w:r w:rsidRPr="000F7506">
        <w:rPr>
          <w:lang w:val="en-US"/>
        </w:rPr>
        <w:t>INR</w:t>
      </w:r>
      <w:r w:rsidRPr="000F7506">
        <w:rPr>
          <w:lang w:val="ru-RU"/>
        </w:rPr>
        <w:t xml:space="preserve">), </w:t>
      </w:r>
      <w:r w:rsidRPr="000F7506">
        <w:rPr>
          <w:lang w:val="en-US"/>
        </w:rPr>
        <w:t>a</w:t>
      </w:r>
      <w:r w:rsidRPr="000F7506">
        <w:rPr>
          <w:lang w:val="ru-RU"/>
        </w:rPr>
        <w:t>ПТТ, други.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чернодробна функция – ОБ/албумин, билирубин, протромбиново време (индекс,</w:t>
      </w:r>
      <w:r w:rsidRPr="000F7506">
        <w:rPr>
          <w:lang w:val="en-US"/>
        </w:rPr>
        <w:t>INR</w:t>
      </w:r>
      <w:r w:rsidRPr="000F7506">
        <w:rPr>
          <w:lang w:val="ru-RU"/>
        </w:rPr>
        <w:t xml:space="preserve">), 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други – по индикации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</w:rPr>
      </w:pPr>
      <w:r w:rsidRPr="000F7506">
        <w:rPr>
          <w:b/>
        </w:rPr>
        <w:t>3. Абдоминална ехография; при необходимост КАТ или МРТ.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При показания: доплерово изследване.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</w:rPr>
      </w:pPr>
      <w:r w:rsidRPr="000F7506">
        <w:rPr>
          <w:b/>
        </w:rPr>
        <w:t>4. Инструментални изследвания при кървене от горния ГИТ: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  <w:snapToGrid w:val="0"/>
        </w:rPr>
        <w:t>Спешна езофаго-, гастродуоденоскопия (ФГС</w:t>
      </w:r>
      <w:r w:rsidRPr="000F7506">
        <w:rPr>
          <w:b/>
        </w:rPr>
        <w:t>):</w:t>
      </w:r>
    </w:p>
    <w:p w:rsidR="00815E04" w:rsidRPr="000F7506" w:rsidRDefault="00815E04" w:rsidP="00815E04">
      <w:pPr>
        <w:pStyle w:val="BodyChar"/>
        <w:spacing w:before="0" w:line="240" w:lineRule="auto"/>
        <w:rPr>
          <w:snapToGrid w:val="0"/>
        </w:rPr>
      </w:pPr>
      <w:r w:rsidRPr="000F7506">
        <w:t>При кръвоизливи, преценени като леки и средно тежки, се извършва успоредно с реанимационните процедури, а при тежки кръвоизливи и шокови състояния - след стабилизиране на хемодинамиката и овладяване на шока.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Инструментални изследвания при кървене от черво: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  <w:i/>
        </w:rPr>
      </w:pPr>
      <w:r w:rsidRPr="000F7506">
        <w:rPr>
          <w:b/>
          <w:i/>
        </w:rPr>
        <w:t>Първа стъпка: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- обзорна рентгенография – при преценка. 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- сигмоидоскопия /ректоскопия или колоноскопия</w:t>
      </w:r>
      <w:r w:rsidRPr="000F7506">
        <w:rPr>
          <w:b/>
        </w:rPr>
        <w:t xml:space="preserve"> </w:t>
      </w:r>
      <w:r w:rsidRPr="000F7506">
        <w:t>(трудна при тежко кървене – кръв и съсиреци);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b/>
          <w:i/>
          <w:lang w:val="ru-RU"/>
        </w:rPr>
        <w:t>Втора стъпка:</w:t>
      </w:r>
      <w:r w:rsidRPr="000F7506">
        <w:rPr>
          <w:lang w:val="ru-RU"/>
        </w:rPr>
        <w:t xml:space="preserve"> горна ГИ ендоскопия – да се изключи източник на кървене от горния ГИТ.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jc w:val="center"/>
        <w:rPr>
          <w:b/>
        </w:rPr>
      </w:pPr>
      <w:r w:rsidRPr="000F7506">
        <w:rPr>
          <w:b/>
        </w:rPr>
        <w:t>ПРОВЕЖДАНЕ НА ЛЕЧЕНИЕТО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</w:p>
    <w:p w:rsidR="00815E04" w:rsidRPr="000F7506" w:rsidRDefault="00815E04" w:rsidP="00815E04">
      <w:pPr>
        <w:pStyle w:val="BodyChar"/>
        <w:spacing w:before="0" w:line="240" w:lineRule="auto"/>
        <w:ind w:firstLine="0"/>
        <w:rPr>
          <w:b/>
        </w:rPr>
      </w:pPr>
      <w:r w:rsidRPr="000F7506">
        <w:rPr>
          <w:b/>
        </w:rPr>
        <w:t>Консервативно лечение на остър кръвоизлив.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Общите терапевтични и реанимационни мероприятия започват преди постъпването в болничното заведение и продължават след хоспитализацията. </w:t>
      </w:r>
    </w:p>
    <w:p w:rsidR="00815E04" w:rsidRPr="000F7506" w:rsidRDefault="00815E04" w:rsidP="00815E04">
      <w:pPr>
        <w:pStyle w:val="Heading3"/>
        <w:keepNext w:val="0"/>
        <w:spacing w:before="0" w:after="0"/>
        <w:jc w:val="center"/>
        <w:rPr>
          <w:sz w:val="22"/>
          <w:u w:val="single"/>
          <w:lang w:val="bg-BG"/>
        </w:rPr>
      </w:pPr>
      <w:r w:rsidRPr="000F7506">
        <w:rPr>
          <w:sz w:val="22"/>
          <w:u w:val="single"/>
          <w:lang w:val="bg-BG"/>
        </w:rPr>
        <w:t>По-долу са дадени примерни схеми на лечение, които не са задължителни: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</w:rPr>
      </w:pPr>
      <w:r w:rsidRPr="000F7506">
        <w:rPr>
          <w:b/>
          <w:bCs/>
        </w:rPr>
        <w:t>Общи мерки и борба с хиповолемията:</w:t>
      </w:r>
    </w:p>
    <w:p w:rsidR="00815E04" w:rsidRPr="000F7506" w:rsidRDefault="00815E04" w:rsidP="00815E04">
      <w:pPr>
        <w:pStyle w:val="Body"/>
        <w:spacing w:before="0" w:line="240" w:lineRule="auto"/>
        <w:rPr>
          <w:b/>
        </w:rPr>
      </w:pPr>
      <w:r w:rsidRPr="000F7506">
        <w:t>- кислород през назален катетър,</w:t>
      </w:r>
      <w:r w:rsidRPr="000F7506">
        <w:rPr>
          <w:b/>
        </w:rPr>
        <w:t xml:space="preserve"> </w:t>
      </w:r>
      <w:r w:rsidRPr="000F7506">
        <w:t>аспирация - поддържане на проходими дихателни пътища;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интравенозни инфузии на водно-солеви, глюкозни разтвори;</w:t>
      </w:r>
    </w:p>
    <w:p w:rsidR="00815E04" w:rsidRPr="000F7506" w:rsidRDefault="00815E04" w:rsidP="00815E04">
      <w:pPr>
        <w:pStyle w:val="Body"/>
        <w:spacing w:before="0" w:line="240" w:lineRule="auto"/>
        <w:rPr>
          <w:snapToGrid w:val="0"/>
        </w:rPr>
      </w:pPr>
      <w:r w:rsidRPr="000F7506">
        <w:rPr>
          <w:snapToGrid w:val="0"/>
        </w:rPr>
        <w:t xml:space="preserve">- кръвопреливане, еритроцитна маса, плазма, албумин, кръвозаместители, фактори на съсирване и др.; </w:t>
      </w:r>
    </w:p>
    <w:p w:rsidR="00815E04" w:rsidRPr="000F7506" w:rsidRDefault="00815E04" w:rsidP="00815E04">
      <w:pPr>
        <w:pStyle w:val="Body"/>
        <w:spacing w:before="0" w:line="240" w:lineRule="auto"/>
        <w:rPr>
          <w:snapToGrid w:val="0"/>
        </w:rPr>
      </w:pPr>
      <w:r w:rsidRPr="000F7506">
        <w:rPr>
          <w:snapToGrid w:val="0"/>
        </w:rPr>
        <w:t>- при показания - средства, подпомагащи процеса на кръвосъсирване</w:t>
      </w:r>
      <w:r w:rsidRPr="000F7506">
        <w:t>;</w:t>
      </w:r>
    </w:p>
    <w:p w:rsidR="00815E04" w:rsidRPr="000F7506" w:rsidRDefault="00815E04" w:rsidP="00815E04">
      <w:pPr>
        <w:pStyle w:val="Body"/>
        <w:spacing w:before="0" w:line="240" w:lineRule="auto"/>
        <w:rPr>
          <w:snapToGrid w:val="0"/>
        </w:rPr>
      </w:pPr>
      <w:r w:rsidRPr="000F7506">
        <w:t xml:space="preserve">- антибиотик – преди и/или след ендоскопско лечение. </w:t>
      </w:r>
    </w:p>
    <w:p w:rsidR="00815E04" w:rsidRPr="000F7506" w:rsidRDefault="00815E04" w:rsidP="00815E04">
      <w:pPr>
        <w:ind w:firstLine="570"/>
        <w:rPr>
          <w:rFonts w:ascii="Arial" w:hAnsi="Arial"/>
          <w:b/>
          <w:snapToGrid w:val="0"/>
          <w:sz w:val="22"/>
          <w:lang w:val="bg-BG"/>
        </w:rPr>
      </w:pP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  <w:snapToGrid w:val="0"/>
        </w:rPr>
      </w:pPr>
      <w:r w:rsidRPr="000F7506">
        <w:rPr>
          <w:b/>
          <w:bCs/>
          <w:snapToGrid w:val="0"/>
        </w:rPr>
        <w:lastRenderedPageBreak/>
        <w:t>Кръвоспираща терапия</w:t>
      </w:r>
    </w:p>
    <w:p w:rsidR="00815E04" w:rsidRPr="000F7506" w:rsidRDefault="00815E04" w:rsidP="00815E04">
      <w:pPr>
        <w:pStyle w:val="BodyChar"/>
        <w:numPr>
          <w:ilvl w:val="0"/>
          <w:numId w:val="2"/>
        </w:numPr>
        <w:spacing w:before="0" w:line="240" w:lineRule="auto"/>
        <w:rPr>
          <w:snapToGrid w:val="0"/>
        </w:rPr>
      </w:pPr>
      <w:r w:rsidRPr="000F7506">
        <w:rPr>
          <w:snapToGrid w:val="0"/>
        </w:rPr>
        <w:t>Антисекретори: Н2 блокери и ИПП i.v.</w:t>
      </w:r>
    </w:p>
    <w:p w:rsidR="00815E04" w:rsidRPr="000F7506" w:rsidRDefault="00815E04" w:rsidP="00815E04">
      <w:pPr>
        <w:pStyle w:val="BodyChar"/>
        <w:numPr>
          <w:ilvl w:val="0"/>
          <w:numId w:val="2"/>
        </w:numPr>
        <w:spacing w:before="0" w:line="240" w:lineRule="auto"/>
      </w:pPr>
      <w:r w:rsidRPr="000F7506">
        <w:rPr>
          <w:snapToGrid w:val="0"/>
        </w:rPr>
        <w:t>Н</w:t>
      </w:r>
      <w:r w:rsidRPr="000F7506">
        <w:t xml:space="preserve">амаляване на налягането в порталната система. </w:t>
      </w:r>
    </w:p>
    <w:p w:rsidR="00815E04" w:rsidRPr="00415835" w:rsidRDefault="00815E04" w:rsidP="00815E04">
      <w:pPr>
        <w:pStyle w:val="BodyChar"/>
        <w:spacing w:before="0" w:line="240" w:lineRule="auto"/>
        <w:rPr>
          <w:snapToGrid w:val="0"/>
        </w:rPr>
      </w:pPr>
      <w:r w:rsidRPr="00415835">
        <w:rPr>
          <w:snapToGrid w:val="0"/>
        </w:rPr>
        <w:t>Вазоконстриктивни лекарства.</w:t>
      </w:r>
    </w:p>
    <w:p w:rsidR="00815E04" w:rsidRPr="00415835" w:rsidRDefault="00815E04" w:rsidP="00815E04">
      <w:pPr>
        <w:pStyle w:val="BodyChar"/>
        <w:spacing w:before="0" w:line="240" w:lineRule="auto"/>
      </w:pPr>
      <w:r w:rsidRPr="00415835">
        <w:t>Вазоактивни лекарства.</w:t>
      </w:r>
    </w:p>
    <w:p w:rsidR="00815E04" w:rsidRPr="000F7506" w:rsidRDefault="00815E04" w:rsidP="00815E04">
      <w:pPr>
        <w:pStyle w:val="BodyChar"/>
        <w:spacing w:before="0" w:line="240" w:lineRule="auto"/>
      </w:pPr>
    </w:p>
    <w:p w:rsidR="00815E04" w:rsidRPr="000F7506" w:rsidRDefault="00815E04" w:rsidP="00815E04">
      <w:pPr>
        <w:jc w:val="both"/>
        <w:rPr>
          <w:rFonts w:ascii="Arial" w:hAnsi="Arial"/>
          <w:sz w:val="22"/>
          <w:lang w:val="bg-BG"/>
        </w:rPr>
      </w:pPr>
      <w:proofErr w:type="spellStart"/>
      <w:r w:rsidRPr="000F7506">
        <w:rPr>
          <w:rFonts w:ascii="Arial" w:hAnsi="Arial"/>
          <w:b/>
          <w:sz w:val="22"/>
          <w:lang w:val="bg-BG"/>
        </w:rPr>
        <w:t>Ендоскопско</w:t>
      </w:r>
      <w:proofErr w:type="spellEnd"/>
      <w:r w:rsidRPr="000F7506">
        <w:rPr>
          <w:rFonts w:ascii="Arial" w:hAnsi="Arial"/>
          <w:b/>
          <w:sz w:val="22"/>
          <w:lang w:val="bg-BG"/>
        </w:rPr>
        <w:t xml:space="preserve"> лечение на остър кръвоизлив - </w:t>
      </w:r>
      <w:r w:rsidRPr="000F7506">
        <w:rPr>
          <w:rFonts w:ascii="Arial" w:hAnsi="Arial"/>
          <w:sz w:val="22"/>
          <w:lang w:val="bg-BG"/>
        </w:rPr>
        <w:t xml:space="preserve">ендоскопска хемостаза, обикновено е продължение на диагностичната ендоскопия.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</w:rPr>
      </w:pPr>
      <w:r w:rsidRPr="000F7506">
        <w:rPr>
          <w:b/>
          <w:bCs/>
        </w:rPr>
        <w:t>При неварикозно кървене: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- инжекционна терапия: разтвор на Adrenalin 1:10000 във физиологичен разтвор, абсолютен алкохол или Aethoxysclerol, или други;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термална терапия: електрокоагулация, аргон-плазмена коагулация, лазерна коагулация.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Втори метод на избор – механична терапия с хемостатични клипсове;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връзково лигиране (хемороиди, рядко при други).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  <w:i/>
        </w:rPr>
      </w:pPr>
      <w:r w:rsidRPr="000F7506">
        <w:rPr>
          <w:b/>
          <w:i/>
        </w:rPr>
        <w:t>При неуспех: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Артериално кървене (</w:t>
      </w:r>
      <w:r w:rsidRPr="000F7506">
        <w:rPr>
          <w:lang w:val="en-US"/>
        </w:rPr>
        <w:t>Forrest</w:t>
      </w:r>
      <w:r w:rsidRPr="000F7506">
        <w:rPr>
          <w:lang w:val="ru-RU"/>
        </w:rPr>
        <w:t xml:space="preserve"> </w:t>
      </w:r>
      <w:proofErr w:type="spellStart"/>
      <w:r w:rsidRPr="000F7506">
        <w:rPr>
          <w:lang w:val="en-US"/>
        </w:rPr>
        <w:t>Ia</w:t>
      </w:r>
      <w:proofErr w:type="spellEnd"/>
      <w:r w:rsidRPr="000F7506">
        <w:rPr>
          <w:lang w:val="ru-RU"/>
        </w:rPr>
        <w:t>) – оперативно лечение.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Рецидив в рамките на 24-72 часа или по-късно – нова ендоскопска хемостаза: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при успех – наблюдение и консервативно лечение;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при неуспех – оперативно лечение.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Ако кръвоизливът е резултат на остър ерозивен хеморагичен гастрит, установен ендоскопски и кървенето не се овладява след реанимационните процедури, се преминава към хирургично лечение.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</w:rPr>
      </w:pPr>
      <w:r w:rsidRPr="000F7506">
        <w:rPr>
          <w:b/>
          <w:bCs/>
        </w:rPr>
        <w:t>При варикозно кървене: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Препоръчва се ендоскопските лечебни процедури да се извършват на фона на непрекъсната инфузия с вазоконстриктивни и вазоактивни препарати.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Ендоскопско връзково лигиране (ЕВЛ) или склеротерапия (СТ) при кръвоизлив от варици на хранопровода или гастроезофагеални варици: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</w:pPr>
      <w:r w:rsidRPr="000F7506">
        <w:rPr>
          <w:lang w:val="ru-RU"/>
        </w:rPr>
        <w:t xml:space="preserve">- </w:t>
      </w:r>
      <w:r w:rsidRPr="000F7506">
        <w:t>ЕВЛ – средство на първи избор.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Ендоскопско инжектиране на тъканни лепила (cyanoacrylate или тромбин) - при масивен кръвоизлив от гастроезофагеални и особено изолирани стомашни варици във фундуса: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поставяне на метални клипси.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</w:pPr>
      <w:r w:rsidRPr="000F7506">
        <w:rPr>
          <w:b/>
          <w:i/>
        </w:rPr>
        <w:t>При постигане на хемостаза</w:t>
      </w:r>
      <w:r w:rsidRPr="000F7506">
        <w:t xml:space="preserve"> – наблюдение и консервативно лечение. 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b/>
          <w:i/>
        </w:rPr>
        <w:t>При неуспех</w:t>
      </w:r>
      <w:r w:rsidRPr="000F7506">
        <w:t xml:space="preserve"> (кървенето продължава или рецидивира):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препоръчва се втори ендоскопски опит в рамките на 24-48ч на фона на медикаментозна терапия;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при неуспех от повторна ендоскопска хемостаза - балонна тампонада и медикаментозно лечение;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</w:pPr>
      <w:r w:rsidRPr="000F7506">
        <w:rPr>
          <w:lang w:val="ru-RU"/>
        </w:rPr>
        <w:t>- при неуспех от балонната тампонада обсъждане за хирургично лечение при очаквана добра прогноза (</w:t>
      </w:r>
      <w:r w:rsidRPr="000F7506">
        <w:rPr>
          <w:lang w:val="en-US"/>
        </w:rPr>
        <w:t>Child</w:t>
      </w:r>
      <w:r w:rsidRPr="000F7506">
        <w:rPr>
          <w:lang w:val="ru-RU"/>
        </w:rPr>
        <w:t xml:space="preserve"> </w:t>
      </w:r>
      <w:r w:rsidRPr="000F7506">
        <w:rPr>
          <w:lang w:val="en-US"/>
        </w:rPr>
        <w:t>A</w:t>
      </w:r>
      <w:r w:rsidRPr="000F7506">
        <w:rPr>
          <w:lang w:val="ru-RU"/>
        </w:rPr>
        <w:t xml:space="preserve">, </w:t>
      </w:r>
      <w:r w:rsidRPr="000F7506">
        <w:rPr>
          <w:lang w:val="en-US"/>
        </w:rPr>
        <w:t>B</w:t>
      </w:r>
      <w:r w:rsidRPr="000F7506">
        <w:rPr>
          <w:lang w:val="ru-RU"/>
        </w:rPr>
        <w:t>)</w:t>
      </w:r>
      <w:r w:rsidRPr="000F7506">
        <w:t>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Балонната тампонада е алтернатива на ендоскопската хемостаза.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Лечение на кървене от долния ГИТ: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t xml:space="preserve">- </w:t>
      </w:r>
      <w:r w:rsidRPr="000F7506">
        <w:rPr>
          <w:lang w:val="ru-RU"/>
        </w:rPr>
        <w:t>общи реанимационни мерки;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t xml:space="preserve">- </w:t>
      </w:r>
      <w:r w:rsidRPr="000F7506">
        <w:rPr>
          <w:lang w:val="ru-RU"/>
        </w:rPr>
        <w:t>кръвоспиращи средства;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t xml:space="preserve">- </w:t>
      </w:r>
      <w:r w:rsidRPr="000F7506">
        <w:rPr>
          <w:lang w:val="ru-RU"/>
        </w:rPr>
        <w:t>лечение на основно заболяване;</w:t>
      </w:r>
    </w:p>
    <w:p w:rsidR="00815E04" w:rsidRPr="00953352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953352">
        <w:t xml:space="preserve">- </w:t>
      </w:r>
      <w:r w:rsidRPr="00953352">
        <w:rPr>
          <w:lang w:val="ru-RU"/>
        </w:rPr>
        <w:t>ендоскопското лечение включва всички гореизброени процедури, вкл. при кървящи хемороиди.</w:t>
      </w:r>
    </w:p>
    <w:p w:rsidR="00E57E08" w:rsidRDefault="00E57E08" w:rsidP="00953352">
      <w:pPr>
        <w:ind w:firstLine="567"/>
        <w:jc w:val="both"/>
        <w:rPr>
          <w:rFonts w:ascii="Arial" w:eastAsia="Calibri" w:hAnsi="Arial" w:cs="Arial"/>
          <w:b/>
          <w:sz w:val="22"/>
          <w:szCs w:val="22"/>
          <w:lang w:val="en-US"/>
        </w:rPr>
      </w:pPr>
    </w:p>
    <w:p w:rsidR="00815E04" w:rsidRPr="00953352" w:rsidRDefault="00815E04" w:rsidP="00815E04">
      <w:pPr>
        <w:rPr>
          <w:rFonts w:ascii="Arial" w:hAnsi="Arial"/>
          <w:b/>
          <w:noProof/>
          <w:sz w:val="22"/>
          <w:szCs w:val="20"/>
          <w:lang w:val="bg-BG"/>
        </w:rPr>
      </w:pPr>
    </w:p>
    <w:p w:rsidR="00815E04" w:rsidRPr="00953352" w:rsidRDefault="005D7217" w:rsidP="00815E04">
      <w:pPr>
        <w:rPr>
          <w:rFonts w:ascii="Arial" w:hAnsi="Arial"/>
          <w:b/>
          <w:noProof/>
          <w:sz w:val="22"/>
          <w:szCs w:val="20"/>
          <w:lang w:val="bg-BG"/>
        </w:rPr>
      </w:pPr>
      <w:r>
        <w:rPr>
          <w:rFonts w:ascii="Arial" w:hAnsi="Arial"/>
          <w:b/>
          <w:noProof/>
          <w:sz w:val="22"/>
          <w:szCs w:val="20"/>
          <w:lang w:val="bg-BG"/>
        </w:rPr>
        <w:t>6.</w:t>
      </w:r>
      <w:r w:rsidR="00815E04" w:rsidRPr="00953352">
        <w:rPr>
          <w:rFonts w:ascii="Arial" w:hAnsi="Arial"/>
          <w:b/>
          <w:noProof/>
          <w:sz w:val="22"/>
          <w:szCs w:val="20"/>
          <w:lang w:val="bg-BG"/>
        </w:rPr>
        <w:t>ПОСТАВЯНЕ НА ОКОНЧАТЕЛНА ДИАГНОЗА.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953352">
        <w:t>След ендоскопско изследване при хемодинамично стабилен болен и възможно откриване</w:t>
      </w:r>
      <w:r w:rsidRPr="000F7506">
        <w:t xml:space="preserve"> на източник на кървене.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lastRenderedPageBreak/>
        <w:t>По клинични данни – при хемодинамични отклонения и шок; противопоказание за извършване на ендоскопско изследване или при ендоскопски установена кръв в ГИТ, без видимо кървящ съд (източник на кървене).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rPr>
          <w:b/>
          <w:szCs w:val="22"/>
        </w:rPr>
      </w:pPr>
    </w:p>
    <w:p w:rsidR="00815E04" w:rsidRPr="000F7506" w:rsidRDefault="005D7217" w:rsidP="00815E04">
      <w:pPr>
        <w:pStyle w:val="Body"/>
        <w:spacing w:before="0" w:line="240" w:lineRule="auto"/>
        <w:ind w:firstLine="0"/>
      </w:pPr>
      <w:r>
        <w:rPr>
          <w:b/>
          <w:noProof/>
        </w:rPr>
        <w:t>7.</w:t>
      </w:r>
      <w:r w:rsidR="00815E04" w:rsidRPr="000F7506">
        <w:rPr>
          <w:b/>
          <w:noProof/>
        </w:rPr>
        <w:t>ДЕХОСПИТАЛИЗАЦИЯ И ОПРЕДЕЛЯНЕ НА СЛЕДБОЛНИЧЕН РЕЖИМ</w:t>
      </w:r>
      <w:r w:rsidR="00815E04" w:rsidRPr="000F7506">
        <w:rPr>
          <w:b/>
        </w:rPr>
        <w:t>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rPr>
          <w:b/>
        </w:rPr>
        <w:t>Диагностични, лечебни и рехабилитационни дейности и услуги при дехоспитализацията</w:t>
      </w:r>
      <w:r w:rsidRPr="000F7506">
        <w:t>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при клинични и лабораторни данни за овладян кръвоизлив, без хематемеза и мелена, корекция на хемоглобина над 70 г/л;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стабилизиране и корекция на хемодинамиката и отклоненията на жизнени параметри спрямо стойностите при хоспитализацията.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доказване на онкологично заболяване.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snapToGrid w:val="0"/>
        </w:rPr>
      </w:pPr>
    </w:p>
    <w:p w:rsidR="00815E04" w:rsidRDefault="00815E04" w:rsidP="00815E04">
      <w:pPr>
        <w:pStyle w:val="Body"/>
        <w:keepNext/>
        <w:keepLines/>
        <w:spacing w:before="0" w:line="240" w:lineRule="auto"/>
      </w:pPr>
      <w:r>
        <w:t xml:space="preserve">При диагноза включена в </w:t>
      </w:r>
      <w:r w:rsidR="00A80AF6">
        <w:rPr>
          <w:rFonts w:cs="Arial"/>
        </w:rPr>
        <w:t>Наредба № 8 от 2016 г. за профилактичните прегледи и диспансеризацията</w:t>
      </w:r>
      <w:r>
        <w:t xml:space="preserve">, пациентът се насочва за диспансерно наблюдение, съгласно изискванията на същата. 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</w:p>
    <w:p w:rsidR="00A80AF6" w:rsidRDefault="00A80AF6" w:rsidP="00815E04">
      <w:pPr>
        <w:pStyle w:val="ime-razdel"/>
        <w:spacing w:before="0" w:after="0" w:line="240" w:lineRule="auto"/>
        <w:jc w:val="both"/>
        <w:rPr>
          <w:noProof/>
          <w:lang w:val="ru-RU"/>
        </w:rPr>
      </w:pPr>
    </w:p>
    <w:p w:rsidR="00815E04" w:rsidRPr="000F7506" w:rsidRDefault="005D7217" w:rsidP="00815E04">
      <w:pPr>
        <w:pStyle w:val="ime-razdel"/>
        <w:spacing w:before="0" w:after="0" w:line="240" w:lineRule="auto"/>
        <w:jc w:val="both"/>
        <w:rPr>
          <w:noProof/>
          <w:u w:val="single"/>
          <w:lang w:val="ru-RU"/>
        </w:rPr>
      </w:pPr>
      <w:r>
        <w:rPr>
          <w:noProof/>
          <w:lang w:val="ru-RU"/>
        </w:rPr>
        <w:t>8.</w:t>
      </w:r>
      <w:r w:rsidR="00815E04" w:rsidRPr="000F7506">
        <w:rPr>
          <w:noProof/>
          <w:lang w:val="ru-RU"/>
        </w:rPr>
        <w:t xml:space="preserve"> </w:t>
      </w:r>
      <w:r w:rsidR="00815E04" w:rsidRPr="000F7506">
        <w:rPr>
          <w:noProof/>
          <w:u w:val="single"/>
          <w:lang w:val="ru-RU"/>
        </w:rPr>
        <w:t>Документиране на дейностите по клиничната пътека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i/>
          <w:noProof/>
        </w:rPr>
      </w:pPr>
      <w:r w:rsidRPr="000F7506">
        <w:rPr>
          <w:b/>
          <w:noProof/>
        </w:rPr>
        <w:t>ХОСПИТАЛИЗАЦИЯТА НА ПАЦИЕНТА</w:t>
      </w:r>
      <w:r w:rsidRPr="000F7506">
        <w:rPr>
          <w:noProof/>
        </w:rPr>
        <w:t xml:space="preserve"> се документира в “</w:t>
      </w:r>
      <w:r w:rsidRPr="000F7506">
        <w:rPr>
          <w:i/>
          <w:noProof/>
        </w:rPr>
        <w:t>История на заболяването</w:t>
      </w:r>
      <w:r w:rsidRPr="000F7506">
        <w:rPr>
          <w:noProof/>
        </w:rPr>
        <w:t xml:space="preserve">” (ИЗ) и в част 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0F7506">
        <w:rPr>
          <w:i/>
          <w:noProof/>
        </w:rPr>
        <w:t>- бл.МЗ-НЗОК №7.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noProof/>
        </w:rPr>
      </w:pPr>
      <w:r w:rsidRPr="000F7506">
        <w:rPr>
          <w:b/>
          <w:noProof/>
        </w:rPr>
        <w:t>ДОКУМЕНТИРАНЕ НА ДИАГНОСТИЧНО - ЛЕЧЕБНИЯ АЛГОРИТЪМ</w:t>
      </w:r>
      <w:r w:rsidRPr="000F7506">
        <w:rPr>
          <w:noProof/>
        </w:rPr>
        <w:t xml:space="preserve"> – в</w:t>
      </w:r>
      <w:r w:rsidRPr="000F7506">
        <w:rPr>
          <w:i/>
          <w:noProof/>
        </w:rPr>
        <w:t xml:space="preserve"> “История на заболяването”</w:t>
      </w:r>
      <w:r w:rsidRPr="000F7506">
        <w:rPr>
          <w:noProof/>
        </w:rPr>
        <w:t>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</w:pPr>
      <w:r w:rsidRPr="000F7506">
        <w:rPr>
          <w:b/>
        </w:rPr>
        <w:t>ИЗПИСВАНЕТО/ПРЕВЕЖДАНЕТО КЪМ ДРУГО ЛЕЧЕБНО ЗАВЕДЕНИЕ СЕ ДОКУМЕНТИРА В:</w:t>
      </w:r>
    </w:p>
    <w:p w:rsidR="00815E04" w:rsidRPr="000F7506" w:rsidRDefault="00815E04" w:rsidP="00815E04">
      <w:pPr>
        <w:pStyle w:val="Body"/>
        <w:spacing w:before="0" w:line="240" w:lineRule="auto"/>
        <w:rPr>
          <w:i/>
        </w:rPr>
      </w:pPr>
      <w:r w:rsidRPr="000F7506">
        <w:rPr>
          <w:i/>
        </w:rPr>
        <w:t>-</w:t>
      </w:r>
      <w:r w:rsidRPr="000F7506">
        <w:rPr>
          <w:i/>
        </w:rPr>
        <w:tab/>
        <w:t>“История на заболяването”;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</w:t>
      </w:r>
      <w:r w:rsidRPr="000F7506">
        <w:tab/>
        <w:t xml:space="preserve">част ІІІ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0F7506">
        <w:rPr>
          <w:i/>
          <w:noProof/>
        </w:rPr>
        <w:t>- бл.МЗ-НЗОК №7</w:t>
      </w:r>
      <w:r w:rsidRPr="000F7506">
        <w:t>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</w:t>
      </w:r>
      <w:r w:rsidRPr="000F7506">
        <w:tab/>
        <w:t xml:space="preserve">епикриза – получава се срещу подпис на пациента </w:t>
      </w:r>
      <w:r w:rsidRPr="00C754B7">
        <w:rPr>
          <w:rFonts w:cs="Arial"/>
          <w:noProof/>
          <w:szCs w:val="22"/>
        </w:rPr>
        <w:t>(родителя/настойника</w:t>
      </w:r>
      <w:r>
        <w:rPr>
          <w:rFonts w:cs="Arial"/>
          <w:noProof/>
          <w:szCs w:val="22"/>
        </w:rPr>
        <w:t>/попечителя</w:t>
      </w:r>
      <w:r w:rsidRPr="00C754B7">
        <w:rPr>
          <w:rFonts w:cs="Arial"/>
          <w:noProof/>
          <w:szCs w:val="22"/>
        </w:rPr>
        <w:t>)</w:t>
      </w:r>
      <w:r w:rsidRPr="0045174B">
        <w:t xml:space="preserve">, </w:t>
      </w:r>
      <w:r w:rsidRPr="000F7506">
        <w:t>отразен в ИЗ.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  <w:jc w:val="right"/>
        <w:rPr>
          <w:b/>
          <w:caps/>
          <w:lang w:val="ru-RU"/>
        </w:rPr>
      </w:pPr>
      <w:r w:rsidRPr="000F7506">
        <w:rPr>
          <w:b/>
          <w:caps/>
          <w:lang w:val="ru-RU"/>
        </w:rPr>
        <w:t>ДОКУМЕНТ № 4</w:t>
      </w:r>
    </w:p>
    <w:p w:rsidR="00815E04" w:rsidRPr="000F7506" w:rsidRDefault="00815E04" w:rsidP="00815E04">
      <w:pPr>
        <w:pStyle w:val="Body"/>
        <w:spacing w:before="0" w:line="240" w:lineRule="auto"/>
        <w:jc w:val="right"/>
        <w:rPr>
          <w:b/>
          <w:caps/>
          <w:lang w:val="ru-RU"/>
        </w:rPr>
      </w:pPr>
    </w:p>
    <w:p w:rsidR="00815E04" w:rsidRPr="000F7506" w:rsidRDefault="00815E04" w:rsidP="00815E04">
      <w:pPr>
        <w:pStyle w:val="ime-razdel"/>
        <w:spacing w:before="0" w:after="0" w:line="240" w:lineRule="auto"/>
        <w:rPr>
          <w:lang w:val="ru-RU"/>
        </w:rPr>
      </w:pPr>
      <w:r w:rsidRPr="000F7506">
        <w:rPr>
          <w:lang w:val="ru-RU"/>
        </w:rPr>
        <w:t>ИНФОРМАЦИЯ ЗА ПАЦИЕНТА (родителя /настойника/Попечителя)</w:t>
      </w:r>
    </w:p>
    <w:p w:rsidR="00815E04" w:rsidRPr="000F7506" w:rsidRDefault="00815E04" w:rsidP="00815E04">
      <w:pPr>
        <w:pStyle w:val="ime-razdel"/>
        <w:spacing w:before="0" w:after="0" w:line="240" w:lineRule="auto"/>
        <w:rPr>
          <w:bCs/>
          <w:u w:val="single"/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</w:t>
      </w:r>
      <w:r w:rsidR="00A656F7">
        <w:t xml:space="preserve"> </w:t>
      </w:r>
      <w:r w:rsidRPr="000F7506">
        <w:t xml:space="preserve">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</w:t>
      </w:r>
      <w:r w:rsidRPr="000F7506">
        <w:lastRenderedPageBreak/>
        <w:t>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вземане на кръв за лабораторни изследвания;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оглед на органите в корема с ехограф;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вземане на малко парче за изследване под микроскоп;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други изследвания според преценката на Вашия лекар.</w:t>
      </w:r>
    </w:p>
    <w:p w:rsidR="00815E04" w:rsidRPr="000F7506" w:rsidRDefault="00815E04" w:rsidP="00815E04">
      <w:pPr>
        <w:pStyle w:val="Body"/>
        <w:spacing w:before="0" w:line="240" w:lineRule="auto"/>
      </w:pP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815E04" w:rsidRPr="00E80AA3" w:rsidRDefault="00815E04" w:rsidP="00815E04">
      <w:pPr>
        <w:pStyle w:val="Body"/>
        <w:spacing w:before="0" w:line="240" w:lineRule="auto"/>
      </w:pPr>
      <w:r w:rsidRPr="000F7506"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815E04" w:rsidRDefault="00815E04"/>
    <w:sectPr w:rsidR="00815E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53D7D"/>
    <w:multiLevelType w:val="hybridMultilevel"/>
    <w:tmpl w:val="7B72265A"/>
    <w:lvl w:ilvl="0" w:tplc="E5B054EC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>
    <w:nsid w:val="48B57C53"/>
    <w:multiLevelType w:val="hybridMultilevel"/>
    <w:tmpl w:val="8E8C322E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4EE60369"/>
    <w:multiLevelType w:val="hybridMultilevel"/>
    <w:tmpl w:val="D38E9390"/>
    <w:lvl w:ilvl="0" w:tplc="C394884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67FB643F"/>
    <w:multiLevelType w:val="hybridMultilevel"/>
    <w:tmpl w:val="44FE5A84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6E057867"/>
    <w:multiLevelType w:val="hybridMultilevel"/>
    <w:tmpl w:val="9920DC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AE2"/>
    <w:rsid w:val="00000678"/>
    <w:rsid w:val="000B51B8"/>
    <w:rsid w:val="00104C4E"/>
    <w:rsid w:val="00121FA5"/>
    <w:rsid w:val="001860DB"/>
    <w:rsid w:val="001A0777"/>
    <w:rsid w:val="001A7ED9"/>
    <w:rsid w:val="001D3E98"/>
    <w:rsid w:val="00224956"/>
    <w:rsid w:val="00261761"/>
    <w:rsid w:val="00267995"/>
    <w:rsid w:val="002750A1"/>
    <w:rsid w:val="002A5B7D"/>
    <w:rsid w:val="002A7045"/>
    <w:rsid w:val="002B6F28"/>
    <w:rsid w:val="002D27C4"/>
    <w:rsid w:val="0039120D"/>
    <w:rsid w:val="003B25CC"/>
    <w:rsid w:val="003E399D"/>
    <w:rsid w:val="00415835"/>
    <w:rsid w:val="00444AE2"/>
    <w:rsid w:val="00563FA5"/>
    <w:rsid w:val="005824F6"/>
    <w:rsid w:val="00586297"/>
    <w:rsid w:val="005D7217"/>
    <w:rsid w:val="005F384B"/>
    <w:rsid w:val="00630182"/>
    <w:rsid w:val="006C3823"/>
    <w:rsid w:val="00716A06"/>
    <w:rsid w:val="00801F16"/>
    <w:rsid w:val="00815E04"/>
    <w:rsid w:val="00853D2F"/>
    <w:rsid w:val="008D5A8F"/>
    <w:rsid w:val="00953352"/>
    <w:rsid w:val="009C2698"/>
    <w:rsid w:val="009C4442"/>
    <w:rsid w:val="009D3CED"/>
    <w:rsid w:val="009D7190"/>
    <w:rsid w:val="00A32329"/>
    <w:rsid w:val="00A55D42"/>
    <w:rsid w:val="00A6025A"/>
    <w:rsid w:val="00A656F7"/>
    <w:rsid w:val="00A80AF6"/>
    <w:rsid w:val="00AB1AB8"/>
    <w:rsid w:val="00AB3E98"/>
    <w:rsid w:val="00AF1194"/>
    <w:rsid w:val="00AF3367"/>
    <w:rsid w:val="00B01B96"/>
    <w:rsid w:val="00B30878"/>
    <w:rsid w:val="00C42645"/>
    <w:rsid w:val="00C633CF"/>
    <w:rsid w:val="00D6516A"/>
    <w:rsid w:val="00DF5400"/>
    <w:rsid w:val="00E57E08"/>
    <w:rsid w:val="00F2697C"/>
    <w:rsid w:val="00F72051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815E04"/>
    <w:pPr>
      <w:keepNext/>
      <w:ind w:left="57"/>
      <w:jc w:val="center"/>
      <w:outlineLvl w:val="1"/>
    </w:pPr>
    <w:rPr>
      <w:sz w:val="28"/>
      <w:lang w:val="bg-BG"/>
    </w:rPr>
  </w:style>
  <w:style w:type="paragraph" w:styleId="Heading3">
    <w:name w:val="heading 3"/>
    <w:basedOn w:val="Normal"/>
    <w:next w:val="Normal"/>
    <w:link w:val="Heading3Char"/>
    <w:qFormat/>
    <w:rsid w:val="00815E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815E04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815E04"/>
    <w:rPr>
      <w:rFonts w:ascii="Arial" w:eastAsia="Times New Roman" w:hAnsi="Arial" w:cs="Arial"/>
      <w:b/>
      <w:bCs/>
      <w:sz w:val="26"/>
      <w:szCs w:val="26"/>
      <w:lang w:val="en-GB"/>
    </w:rPr>
  </w:style>
  <w:style w:type="paragraph" w:customStyle="1" w:styleId="BodyChar">
    <w:name w:val="Body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815E04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815E04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character" w:styleId="PageNumber">
    <w:name w:val="page number"/>
    <w:basedOn w:val="DefaultParagraphFont"/>
    <w:rsid w:val="00815E04"/>
  </w:style>
  <w:style w:type="paragraph" w:customStyle="1" w:styleId="Description">
    <w:name w:val="Description"/>
    <w:basedOn w:val="Normal"/>
    <w:link w:val="DescriptionChar"/>
    <w:rsid w:val="00815E04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815E04"/>
    <w:pPr>
      <w:spacing w:line="0" w:lineRule="atLeast"/>
    </w:pPr>
    <w:rPr>
      <w:b/>
      <w:i/>
      <w:sz w:val="14"/>
      <w:szCs w:val="20"/>
      <w:lang w:val="bg-BG"/>
    </w:rPr>
  </w:style>
  <w:style w:type="paragraph" w:customStyle="1" w:styleId="Exclude">
    <w:name w:val="Exclude"/>
    <w:basedOn w:val="Normal"/>
    <w:rsid w:val="00815E04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815E04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bodyt">
    <w:name w:val="body_t"/>
    <w:basedOn w:val="Normal"/>
    <w:rsid w:val="00815E04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BodyCharCharCharChar">
    <w:name w:val="Body Char Char Char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815E04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815E04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815E04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815E04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815E04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815E04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15E04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SrgCodChar">
    <w:name w:val="SrgCod Char"/>
    <w:link w:val="SrgCod"/>
    <w:rsid w:val="00815E04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A323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815E04"/>
    <w:pPr>
      <w:keepNext/>
      <w:ind w:left="57"/>
      <w:jc w:val="center"/>
      <w:outlineLvl w:val="1"/>
    </w:pPr>
    <w:rPr>
      <w:sz w:val="28"/>
      <w:lang w:val="bg-BG"/>
    </w:rPr>
  </w:style>
  <w:style w:type="paragraph" w:styleId="Heading3">
    <w:name w:val="heading 3"/>
    <w:basedOn w:val="Normal"/>
    <w:next w:val="Normal"/>
    <w:link w:val="Heading3Char"/>
    <w:qFormat/>
    <w:rsid w:val="00815E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815E04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815E04"/>
    <w:rPr>
      <w:rFonts w:ascii="Arial" w:eastAsia="Times New Roman" w:hAnsi="Arial" w:cs="Arial"/>
      <w:b/>
      <w:bCs/>
      <w:sz w:val="26"/>
      <w:szCs w:val="26"/>
      <w:lang w:val="en-GB"/>
    </w:rPr>
  </w:style>
  <w:style w:type="paragraph" w:customStyle="1" w:styleId="BodyChar">
    <w:name w:val="Body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815E04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815E04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character" w:styleId="PageNumber">
    <w:name w:val="page number"/>
    <w:basedOn w:val="DefaultParagraphFont"/>
    <w:rsid w:val="00815E04"/>
  </w:style>
  <w:style w:type="paragraph" w:customStyle="1" w:styleId="Description">
    <w:name w:val="Description"/>
    <w:basedOn w:val="Normal"/>
    <w:link w:val="DescriptionChar"/>
    <w:rsid w:val="00815E04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815E04"/>
    <w:pPr>
      <w:spacing w:line="0" w:lineRule="atLeast"/>
    </w:pPr>
    <w:rPr>
      <w:b/>
      <w:i/>
      <w:sz w:val="14"/>
      <w:szCs w:val="20"/>
      <w:lang w:val="bg-BG"/>
    </w:rPr>
  </w:style>
  <w:style w:type="paragraph" w:customStyle="1" w:styleId="Exclude">
    <w:name w:val="Exclude"/>
    <w:basedOn w:val="Normal"/>
    <w:rsid w:val="00815E04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815E04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bodyt">
    <w:name w:val="body_t"/>
    <w:basedOn w:val="Normal"/>
    <w:rsid w:val="00815E04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BodyCharCharCharChar">
    <w:name w:val="Body Char Char Char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815E04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815E04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815E04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815E04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815E04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815E04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15E04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SrgCodChar">
    <w:name w:val="SrgCod Char"/>
    <w:link w:val="SrgCod"/>
    <w:rsid w:val="00815E04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A32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9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2919</Words>
  <Characters>16644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19524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Михаил Абрашев</cp:lastModifiedBy>
  <cp:revision>51</cp:revision>
  <dcterms:created xsi:type="dcterms:W3CDTF">2019-05-17T07:52:00Z</dcterms:created>
  <dcterms:modified xsi:type="dcterms:W3CDTF">2022-10-31T13:41:00Z</dcterms:modified>
</cp:coreProperties>
</file>