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9664" w14:textId="5DF714AE" w:rsidR="00A90E78" w:rsidRDefault="004F321A">
      <w:r w:rsidRPr="009B421B">
        <w:rPr>
          <w:noProof/>
        </w:rPr>
        <w:drawing>
          <wp:inline distT="0" distB="0" distL="0" distR="0" wp14:anchorId="6AE13E76" wp14:editId="5E261A3E">
            <wp:extent cx="5760720" cy="133350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7D16A" w14:textId="1D1991D2" w:rsidR="00D54746" w:rsidRDefault="00D54746"/>
    <w:p w14:paraId="68C42172" w14:textId="77777777" w:rsidR="00D54746" w:rsidRPr="00D54746" w:rsidRDefault="00D54746" w:rsidP="00D547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4743FE3C" w14:textId="77777777" w:rsidR="00D54746" w:rsidRPr="00D54746" w:rsidRDefault="00D54746" w:rsidP="00D547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Подмярка - 6.4.1. „Инвестиции в подкрепа на неземеделски дейности“ от ПРСР 2014-2020 г.</w:t>
      </w:r>
    </w:p>
    <w:p w14:paraId="167D2C40" w14:textId="66634A40" w:rsidR="00D54746" w:rsidRPr="00D54746" w:rsidRDefault="00D54746" w:rsidP="00D547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  <w:t>Очакван прием:</w:t>
      </w:r>
      <w:r w:rsidRPr="00D5474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bg-BG"/>
        </w:rPr>
        <w:t xml:space="preserve"> </w:t>
      </w:r>
      <w:r w:rsidR="003F631F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  <w:t xml:space="preserve">април – юни </w:t>
      </w:r>
      <w:r w:rsidRPr="00D54746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  <w:t xml:space="preserve"> 2023 год.</w:t>
      </w:r>
    </w:p>
    <w:p w14:paraId="5B174EAB" w14:textId="77777777" w:rsidR="00D54746" w:rsidRPr="00D54746" w:rsidRDefault="00D54746" w:rsidP="00D54746">
      <w:pPr>
        <w:tabs>
          <w:tab w:val="center" w:pos="5032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>Изисквания към кандитите:</w:t>
      </w:r>
      <w:r w:rsidRPr="00D54746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ab/>
      </w:r>
    </w:p>
    <w:p w14:paraId="2831D189" w14:textId="77777777" w:rsidR="00D54746" w:rsidRPr="00D54746" w:rsidRDefault="00D54746" w:rsidP="00D54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  <w:t>Микропредприятия /персонал до 9 души средносписъчен брой вкл. за последните 2 финансови години, съгласно справки подавани към НСИ/</w:t>
      </w:r>
    </w:p>
    <w:p w14:paraId="1A403F53" w14:textId="77777777" w:rsidR="00D54746" w:rsidRPr="00D54746" w:rsidRDefault="00D54746" w:rsidP="00D54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  <w:t>Регистрирани като еднолични търговци или юридически лица по Търговския закон.</w:t>
      </w:r>
    </w:p>
    <w:p w14:paraId="2DCA22BA" w14:textId="77777777" w:rsidR="00D54746" w:rsidRPr="00D54746" w:rsidRDefault="00D54746" w:rsidP="00D54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  <w:t>Фирмите трябва да имат седалище/клон на територията на община от селски район.</w:t>
      </w:r>
    </w:p>
    <w:p w14:paraId="3EA30FAA" w14:textId="77777777" w:rsidR="00D54746" w:rsidRPr="00D54746" w:rsidRDefault="00D54746" w:rsidP="00D547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>Допустими дейности:</w:t>
      </w:r>
    </w:p>
    <w:p w14:paraId="109CBB49" w14:textId="77777777" w:rsidR="00D54746" w:rsidRPr="00D54746" w:rsidRDefault="00D54746" w:rsidP="00D5474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  <w:t xml:space="preserve">Предоставя се подпомагане за инвестиции в неземеделски дейности, които са насочени към развитие на услуги във всички сектори на икономиката. Допустимо е производство на енергия от възобновяеми енергийни източници за собствено потребление, т.е. </w:t>
      </w:r>
      <w:r w:rsidRPr="00D54746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  <w:t>закупуване и монтаж на ФЕЦ за задоволяване на нуждите на действащо микропредприятие – медицински или стоматологичен център.</w:t>
      </w:r>
    </w:p>
    <w:p w14:paraId="67C9A0C8" w14:textId="77777777" w:rsidR="00D54746" w:rsidRPr="00D54746" w:rsidRDefault="00D54746" w:rsidP="00D547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>Допустими разходи:</w:t>
      </w:r>
    </w:p>
    <w:p w14:paraId="3D29FA83" w14:textId="77777777" w:rsidR="00D54746" w:rsidRPr="00D54746" w:rsidRDefault="00D54746" w:rsidP="00D547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  <w:t>Строителство - изграждане, ремонт или реконструкция на недвижимо имущество;</w:t>
      </w:r>
    </w:p>
    <w:p w14:paraId="0E7C55F9" w14:textId="77777777" w:rsidR="00D54746" w:rsidRPr="00D54746" w:rsidRDefault="00D54746" w:rsidP="00D547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  <w:t>Закупуване, включително чрез лизинг на нови машини и оборудване до пазарната стойност на активите, включително медицинско и стоматологично оборудване и апаратура, както и оборудване на аптека;</w:t>
      </w:r>
    </w:p>
    <w:p w14:paraId="52FAF7E4" w14:textId="77777777" w:rsidR="00D54746" w:rsidRPr="00D54746" w:rsidRDefault="00D54746" w:rsidP="00D547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  <w:t>Общи разходи, свързани с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осъществимост, които могат да са максимум 12% от стойността на целия проект;</w:t>
      </w:r>
    </w:p>
    <w:p w14:paraId="0104B5C8" w14:textId="77777777" w:rsidR="00D54746" w:rsidRPr="00D54746" w:rsidRDefault="00D54746" w:rsidP="00D547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  <w:t>Нематериални инвестиции: придобиване и създаване на компютърен софтуер и придобиване на патенти, лицензи, авторски права и марки.</w:t>
      </w:r>
    </w:p>
    <w:p w14:paraId="47B0840D" w14:textId="77777777" w:rsidR="00854516" w:rsidRDefault="00854516" w:rsidP="00D547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</w:pPr>
    </w:p>
    <w:p w14:paraId="2CBE65DE" w14:textId="7DF1FE2A" w:rsidR="00D54746" w:rsidRPr="00D54746" w:rsidRDefault="00D54746" w:rsidP="00D547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>Условия за допустимост:</w:t>
      </w:r>
    </w:p>
    <w:p w14:paraId="1F56AF92" w14:textId="77777777" w:rsidR="00D54746" w:rsidRPr="00D54746" w:rsidRDefault="00D54746" w:rsidP="00D547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  <w:lastRenderedPageBreak/>
        <w:t xml:space="preserve">Инвестицията да се осъществява в селски район; </w:t>
      </w:r>
    </w:p>
    <w:p w14:paraId="5B9A42AD" w14:textId="77777777" w:rsidR="00D54746" w:rsidRPr="00D54746" w:rsidRDefault="00D54746" w:rsidP="00D547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  <w:t>Инвестицията да няма отрицателно влияние върху околната среда;</w:t>
      </w:r>
    </w:p>
    <w:p w14:paraId="47FCC5BF" w14:textId="77777777" w:rsidR="00D54746" w:rsidRPr="00D54746" w:rsidRDefault="00D54746" w:rsidP="00D5474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>С предимство са:</w:t>
      </w:r>
    </w:p>
    <w:p w14:paraId="473AF8EB" w14:textId="77777777" w:rsidR="00D54746" w:rsidRPr="00D54746" w:rsidRDefault="00D54746" w:rsidP="00D547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Calibri" w:hAnsi="Verdana" w:cs="Times New Roman"/>
          <w:sz w:val="20"/>
          <w:szCs w:val="20"/>
          <w:lang w:val="bg-BG"/>
        </w:rPr>
        <w:t>Проекти, насочени към създаване или развитие на здравни и социални услуги. Насочеността се</w:t>
      </w:r>
      <w:r w:rsidRPr="00D54746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  <w:t xml:space="preserve">  определя от</w:t>
      </w:r>
      <w:r w:rsidRPr="00D5474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val="bg-BG" w:eastAsia="bg-BG"/>
        </w:rPr>
        <w:t xml:space="preserve"> кода по </w:t>
      </w:r>
      <w:r w:rsidRPr="00D54746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>КИД-2008:</w:t>
      </w:r>
    </w:p>
    <w:p w14:paraId="3C6C229E" w14:textId="77777777" w:rsidR="00D54746" w:rsidRPr="00D54746" w:rsidRDefault="00D54746" w:rsidP="00D54746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>Сектор Q</w:t>
      </w:r>
    </w:p>
    <w:p w14:paraId="1B78D9AC" w14:textId="77777777" w:rsidR="00D54746" w:rsidRPr="00D54746" w:rsidRDefault="00D54746" w:rsidP="00D54746">
      <w:pPr>
        <w:shd w:val="clear" w:color="auto" w:fill="FFFFFF"/>
        <w:spacing w:after="0" w:line="240" w:lineRule="auto"/>
        <w:ind w:left="1797"/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>• Q 86.21 „Дейност на общопрактикуващи лекари“;</w:t>
      </w:r>
    </w:p>
    <w:p w14:paraId="06435FE6" w14:textId="77777777" w:rsidR="00D54746" w:rsidRPr="00D54746" w:rsidRDefault="00D54746" w:rsidP="00D54746">
      <w:pPr>
        <w:shd w:val="clear" w:color="auto" w:fill="FFFFFF"/>
        <w:spacing w:after="0" w:line="240" w:lineRule="auto"/>
        <w:ind w:left="1797"/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>• Q 86.22 „Дейност на лекари специалисти“;</w:t>
      </w:r>
    </w:p>
    <w:p w14:paraId="61C2A7CF" w14:textId="77777777" w:rsidR="00D54746" w:rsidRPr="00D54746" w:rsidRDefault="00D54746" w:rsidP="00D54746">
      <w:pPr>
        <w:shd w:val="clear" w:color="auto" w:fill="FFFFFF"/>
        <w:spacing w:after="0" w:line="240" w:lineRule="auto"/>
        <w:ind w:left="1797"/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 xml:space="preserve">• Q 86.23 „Дейност на лекари по дентална медицина“;                                 </w:t>
      </w:r>
    </w:p>
    <w:p w14:paraId="03ACA551" w14:textId="77777777" w:rsidR="00D54746" w:rsidRPr="00D54746" w:rsidRDefault="00D54746" w:rsidP="00D54746">
      <w:pPr>
        <w:shd w:val="clear" w:color="auto" w:fill="FFFFFF"/>
        <w:spacing w:after="0" w:line="240" w:lineRule="auto"/>
        <w:ind w:left="1440"/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</w:pPr>
    </w:p>
    <w:p w14:paraId="114EC43C" w14:textId="77777777" w:rsidR="00D54746" w:rsidRPr="00D54746" w:rsidRDefault="00D54746" w:rsidP="00D54746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 xml:space="preserve">Сектор G                                                                                         </w:t>
      </w:r>
    </w:p>
    <w:p w14:paraId="15CAE0EE" w14:textId="77777777" w:rsidR="00D54746" w:rsidRPr="00D54746" w:rsidRDefault="00D54746" w:rsidP="00D54746">
      <w:pPr>
        <w:shd w:val="clear" w:color="auto" w:fill="FFFFFF"/>
        <w:spacing w:after="0" w:line="240" w:lineRule="auto"/>
        <w:ind w:left="1800"/>
        <w:jc w:val="both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>• G 47.73 „Търговия на дребно с лекарства и други фармацевтични стоки“;</w:t>
      </w:r>
    </w:p>
    <w:p w14:paraId="2323C79B" w14:textId="77777777" w:rsidR="00D54746" w:rsidRPr="00D54746" w:rsidRDefault="00D54746" w:rsidP="00D547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  <w:t xml:space="preserve">Проекти, подадени от кандидати, притежаващи опит или образование в сектора, за който кандидатстват или </w:t>
      </w:r>
      <w:r w:rsidRPr="00D54746">
        <w:rPr>
          <w:rFonts w:ascii="Verdana" w:eastAsia="Calibri" w:hAnsi="Verdana" w:cs="Times New Roman"/>
          <w:bCs/>
          <w:sz w:val="20"/>
          <w:szCs w:val="20"/>
          <w:lang w:val="bg-BG"/>
        </w:rPr>
        <w:t>проекти, подадени от кандидат, чийто собственик или представляващ притежава образование и/или стаж в сектора, за който кандидатства.</w:t>
      </w:r>
    </w:p>
    <w:p w14:paraId="2EAD412D" w14:textId="77777777" w:rsidR="00D54746" w:rsidRPr="00D54746" w:rsidRDefault="00D54746" w:rsidP="00D547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  <w:t>Кандидати, осъществявали дейност най-малко 3 години преди годината на кандидатстване -  фирмата е имала нает персонал и е реализирала приходи от дейността си;</w:t>
      </w:r>
    </w:p>
    <w:p w14:paraId="47AA3A35" w14:textId="77777777" w:rsidR="00D54746" w:rsidRPr="00D54746" w:rsidRDefault="00D54746" w:rsidP="00D54746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Calibri" w:hAnsi="Verdana" w:cs="Times New Roman"/>
          <w:bCs/>
          <w:sz w:val="20"/>
          <w:szCs w:val="20"/>
          <w:lang w:val="bg-BG"/>
        </w:rPr>
        <w:t>Проекти на кандидати, на които седалището на  дружеството е в същата община, в която ще е извършва инвестицията от най-малко една календарна година</w:t>
      </w:r>
      <w:r w:rsidRPr="00D54746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  <w:t>.</w:t>
      </w:r>
    </w:p>
    <w:p w14:paraId="6887DB71" w14:textId="77777777" w:rsidR="00D54746" w:rsidRPr="00D54746" w:rsidRDefault="00D54746" w:rsidP="00D54746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  <w:t>Проекти, създаващи нови работни места.</w:t>
      </w:r>
    </w:p>
    <w:p w14:paraId="3EFA763C" w14:textId="77777777" w:rsidR="00D54746" w:rsidRPr="00D54746" w:rsidRDefault="00D54746" w:rsidP="00D547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  <w:br/>
      </w:r>
      <w:r w:rsidRPr="00D54746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 xml:space="preserve">Минимална стойност на проекта </w:t>
      </w:r>
      <w:r w:rsidRPr="00D54746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  <w:t>– 10 000 евро.</w:t>
      </w:r>
      <w:r w:rsidRPr="00D54746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  <w:br/>
      </w:r>
      <w:r w:rsidRPr="00D54746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br/>
        <w:t xml:space="preserve">Максимална стойност на проекта </w:t>
      </w:r>
      <w:r w:rsidRPr="00D54746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  <w:t>– 600 000 евро.</w:t>
      </w:r>
    </w:p>
    <w:p w14:paraId="2996C320" w14:textId="77777777" w:rsidR="00D54746" w:rsidRPr="00D54746" w:rsidRDefault="00D54746" w:rsidP="00D547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  <w:br/>
      </w:r>
      <w:r w:rsidRPr="00D54746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 w:eastAsia="bg-BG"/>
        </w:rPr>
        <w:t xml:space="preserve">Финансовата помощ </w:t>
      </w:r>
      <w:r w:rsidRPr="00D54746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  <w:t xml:space="preserve">е до </w:t>
      </w:r>
      <w:r w:rsidRPr="00D54746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eastAsia="bg-BG"/>
        </w:rPr>
        <w:t>50</w:t>
      </w:r>
      <w:r w:rsidRPr="00D54746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val="bg-BG" w:eastAsia="bg-BG"/>
        </w:rPr>
        <w:t xml:space="preserve">% от разходите по проекта, но не повече от 200 000 евро и при спазване на правилата за „минимална помощ“ </w:t>
      </w:r>
    </w:p>
    <w:p w14:paraId="17C8689C" w14:textId="77777777" w:rsidR="00D54746" w:rsidRPr="00D54746" w:rsidRDefault="00D54746" w:rsidP="00D547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  <w:br/>
        <w:t>След одобрение на проекта е допустимо авансово плащания в размер до 50% от одобрената финансова помощ, след предоставяне на банкова гаранция.</w:t>
      </w:r>
    </w:p>
    <w:p w14:paraId="7E61F52C" w14:textId="77777777" w:rsidR="00D54746" w:rsidRPr="00D54746" w:rsidRDefault="00D54746" w:rsidP="00D547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val="bg-BG" w:eastAsia="bg-BG"/>
        </w:rPr>
      </w:pPr>
      <w:r w:rsidRPr="00D5474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val="bg-BG" w:eastAsia="bg-BG"/>
        </w:rPr>
        <w:t>За повече информация и контакти:</w:t>
      </w:r>
    </w:p>
    <w:p w14:paraId="0F078449" w14:textId="77777777" w:rsidR="00D54746" w:rsidRPr="00D54746" w:rsidRDefault="00D54746" w:rsidP="00D5474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 w:eastAsia="bg-BG"/>
        </w:rPr>
      </w:pPr>
    </w:p>
    <w:p w14:paraId="78FBF59C" w14:textId="398452D3" w:rsidR="00D54746" w:rsidRDefault="00D54746">
      <w:proofErr w:type="spellStart"/>
      <w:r w:rsidRPr="00D54746">
        <w:t>Телефон</w:t>
      </w:r>
      <w:proofErr w:type="spellEnd"/>
      <w:r w:rsidRPr="00D54746">
        <w:t>: +359 (2) 954 11 26, pr@blsbg.com</w:t>
      </w:r>
    </w:p>
    <w:sectPr w:rsidR="00D5474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25B"/>
    <w:multiLevelType w:val="multilevel"/>
    <w:tmpl w:val="19369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916CE"/>
    <w:multiLevelType w:val="multilevel"/>
    <w:tmpl w:val="FF52A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4446F"/>
    <w:multiLevelType w:val="multilevel"/>
    <w:tmpl w:val="0C7E8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77534"/>
    <w:multiLevelType w:val="multilevel"/>
    <w:tmpl w:val="3E26B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34016"/>
    <w:multiLevelType w:val="multilevel"/>
    <w:tmpl w:val="998CF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1612019">
    <w:abstractNumId w:val="2"/>
  </w:num>
  <w:num w:numId="2" w16cid:durableId="1182159561">
    <w:abstractNumId w:val="4"/>
  </w:num>
  <w:num w:numId="3" w16cid:durableId="1122042200">
    <w:abstractNumId w:val="0"/>
  </w:num>
  <w:num w:numId="4" w16cid:durableId="1024206349">
    <w:abstractNumId w:val="3"/>
  </w:num>
  <w:num w:numId="5" w16cid:durableId="497615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0B"/>
    <w:rsid w:val="003F631F"/>
    <w:rsid w:val="003F6BCD"/>
    <w:rsid w:val="004F321A"/>
    <w:rsid w:val="00854516"/>
    <w:rsid w:val="0096400B"/>
    <w:rsid w:val="00A90E78"/>
    <w:rsid w:val="00D5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1D78"/>
  <w15:chartTrackingRefBased/>
  <w15:docId w15:val="{56062B52-C95B-4EC1-AF57-609E3F6E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Todorka Kostova</dc:creator>
  <cp:keywords/>
  <dc:description/>
  <cp:lastModifiedBy>Todorka Kostova</cp:lastModifiedBy>
  <cp:revision>3</cp:revision>
  <dcterms:created xsi:type="dcterms:W3CDTF">2023-03-13T13:49:00Z</dcterms:created>
  <dcterms:modified xsi:type="dcterms:W3CDTF">2023-03-13T13:51:00Z</dcterms:modified>
</cp:coreProperties>
</file>