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</w:tblGrid>
      <w:tr w:rsidR="0020652C" w:rsidRPr="0020652C" w:rsidTr="002065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0652C" w:rsidRPr="0020652C" w:rsidRDefault="0020652C" w:rsidP="0020652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bg-BG"/>
              </w:rPr>
            </w:pPr>
            <w:bookmarkStart w:id="0" w:name="_GoBack"/>
            <w:bookmarkEnd w:id="0"/>
            <w:r w:rsidRPr="0020652C">
              <w:rPr>
                <w:rFonts w:ascii="Trebuchet MS" w:eastAsia="Times New Roman" w:hAnsi="Trebuchet MS" w:cs="Times New Roman"/>
                <w:b/>
                <w:bCs/>
                <w:color w:val="003C5A"/>
                <w:sz w:val="14"/>
                <w:lang w:eastAsia="bg-BG"/>
              </w:rPr>
              <w:t>Договор № РД-НС-01-1-3 от 7 февруари 2019 г.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2018 г.</w:t>
            </w:r>
          </w:p>
        </w:tc>
      </w:tr>
      <w:tr w:rsidR="0020652C" w:rsidRPr="0020652C" w:rsidTr="002065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0652C" w:rsidRPr="0020652C" w:rsidRDefault="0020652C" w:rsidP="0020652C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bg-BG"/>
              </w:rPr>
            </w:pPr>
          </w:p>
        </w:tc>
      </w:tr>
      <w:tr w:rsidR="0020652C" w:rsidRPr="0020652C" w:rsidTr="002065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0652C" w:rsidRPr="0020652C" w:rsidRDefault="0020652C" w:rsidP="0020652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  <w:t> </w:t>
            </w:r>
          </w:p>
          <w:p w:rsidR="0020652C" w:rsidRPr="0020652C" w:rsidRDefault="0020652C" w:rsidP="0020652C">
            <w:pPr>
              <w:spacing w:line="13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МИНИСТЕРСТВО НА ЗДРАВЕОПАЗВАНЕТО</w:t>
            </w:r>
          </w:p>
          <w:p w:rsidR="0020652C" w:rsidRPr="0020652C" w:rsidRDefault="0020652C" w:rsidP="0020652C">
            <w:pPr>
              <w:spacing w:line="13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ДОГОВОР №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РД-НС-01-1-3 от 7 февруари 2019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</w:t>
            </w: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г.</w:t>
            </w:r>
          </w:p>
          <w:p w:rsidR="0020652C" w:rsidRPr="0020652C" w:rsidRDefault="0020652C" w:rsidP="0020652C">
            <w:pPr>
              <w:spacing w:line="13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2018 г.</w:t>
            </w:r>
          </w:p>
          <w:p w:rsidR="0020652C" w:rsidRPr="0020652C" w:rsidRDefault="0020652C" w:rsidP="0020652C">
            <w:pPr>
              <w:spacing w:line="13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(обн., ДВ, бр. 28 от 2018 г.; изм. и доп., бр. 34 от 2018 г., бр. 4 от 2019 г.)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Днес, 7.02.2019 г., между Националната здравноосигурителна каса, от една страна, и Българския лекарски съюз, от друга страна, на основание чл. 54, ал. 10 и чл. 55, ал. 5 от Закона за здравното осигуряване (ЗЗО) се сключи този договор за изменение и допълнение на Национален рамков договор за медицинските дейности между Националната здравноосигурителна каса и Българския лекарски съюз за 2018 г. за следното: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1. 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 чл. 328а, ал. 2 след думите „АПр № 38“ в скоби се добавя „(лекарствени продукти, прилагани при животозастрашаващи кръвоизливи, спешни оперативни и инвазивни интервенции при пациенти с вродени коагулопатии)“.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2. 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 чл. 331а, ал. 1 в таблицата се правят следните изменения: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На ред 051.1 „Диагностика и лечение на исхемичен мозъчен инсулт с тромболиза“, в колона три „Цена (лв.)“ числото „3300“ се заменя с „2300“.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2. На ред 051.2 „Диагностика и лечение на исхемичен мозъчен инсулт с интервенционално лечение“, в колона три „Цена (лв.)“ числото „1800“ се заменя с „1550“.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3. На ред 056 „Диагностика и лечение на болести на черепно-мозъчните нерви (ЧМН), на нервните коренчета и плексуси, полиневропатия и вертеброгенни болкови синдроми“, в колона три „Цена (лв.)“ числото „300“ се заменя с „500“.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3. 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 чл. 332а, ал. 1 в таблицата, на ред 05, в колона две „Номеклатура“ текстът „Дейности по осигуряване на лечение за новородени деца с вродени сърдечни малформации, претърпели сърдечна оперативна интервенция до навършване на 1-годишна възраст“ се изменя така: „Лечение за новородени деца с вродени сърдечни малформации, претърпели сърдечна оперативна интервенция до навършване на 1-годишна възраст“.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4. 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 чл. 333а, ал. 1 в таблицата, на ред 43, в колона две „Номеклатура“ текстът „Генетично профилиране на онкологични заболявания“ се изменя така: „Специфични изследвания на онкологични и онкохематологични заболявания за прицелна терапия“.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5. 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 чл. 341, ал. 1, т. 18 след думите „АПр № 38“ в скоби се добавя „Определяне на план на лечение и проследяване на терапевтичния отговор при пациенти, получаващи скъпоструващи лекарствени продукти по реда на чл. 78, т. 2 от ЗЗО“.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6. 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 чл. 344: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В ал. 1 т. 5 се изменя така: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„5. клинична процедура № 3 в рамките на същия болничен престой по КП № 18, 23, 30, 47, 55, 65 и 66, в които кодът за механична вентилация (*96.70 или *96.71, или *96.72) е задължителен за завършване и отчитане на посочените КП;“.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2. Алинея 6 се изменя така: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„(6) Заплащането на КПр № 3 и № 4 се извършва съобразно използваемостта на интензивните легла в клиниките и отделенията по анестезиология, реанимация и интензивно лечение от второ и трето ниво на компетентност съгласно Наредба № 49, като интензивните легла за изпълнение на КПр № 3 следва да са оборудвани и с необходимата медицинска апаратура за провеждане на механична вентилация.“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7. 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 приложение № 6 „Кодове на заболяванията по списък, определен по реда на чл. 45, ал. 4 ЗЗО, и кодове на специалности на лекари, назначаващи терапия“, на ред 25 за МКБ код на заболяване D18.0 „Хемангиом с каквато и да е локализация“, в колона 3 „Код на специалност на лекар, назначаващ терапия на ЗОЛ до 18 години включително“ след числото „35“ се слага запетая и се допълва с числото „56“.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8. 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 приложение № 17а „Клинични пътеки“, в КП № 256 „Продължително лечение и ранна рехабилитация след оперативни интервенции с голям и много голям обем и сложност с остатъчни проблеми за здравето“, в т. I „Условия за сключване на договор и за изпълнение на клиничната пътека“, т. 3 „Необходими специалисти за изпълнение на клиничната пътека“, текстът под таблицата „- четирима лекари със специалност „Хирургия;“ се изменя така: „-лекар със специалност „Хирургия“, а текстът „-трима лекари със специалност „Ортопедия и травматология“ се заменя с „-лекар със специалност „Ортопедия и травматология“.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9. 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 приложение № 17б „Клинични пътеки № 51, 120 и 206“, в клинична пътека № 120.2 „Лечение на полиорганна недостатъчност, развила се след сърдечна операция, с продължителна механична вентилация“, в таблицата „Кодове на основни процедури по МКБ-9КМ“ след текста: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„*96.70 продължителна механична вентилация над 16 дни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само в случаите на трахеостомирани пациенти, които са с механична вентилация над 384 часа“,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се добавя: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„или само в случаите на механична вентилация с ендотрахеална интубация за пациенти до 18-годишна възраст над 384 часа“.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lastRenderedPageBreak/>
              <w:t>§ 10.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В приложение № 18а „Амбулаторни процедури“, в амбулаторна процедура № 7 „Амбулаторно наблюдение/диспансеризация при злокачествени заболявания и при вродени хематологични заболявания“, в т. I „Условия за сключване на договор и за изпълнение на амбулаторната процедура“, в т. 3 „Необходими специалисти за изпълнение на амбулаторната процедура“ текстът: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„Необходимите специалисти за изпълнение на амбулаторната процедура са: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двама лекари със специалност „Медицинска онкология“ или „Вътрешни болести“ и „Онкология“;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– лекар със специалност „Клинична лаборатория“;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– лекар със специалност „Образна диагностика“.“,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се изменя така: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„трима лекари, от които двама със специалност „Медицинска онкология“ или „Вътрешни болести“ и „Онкология“;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или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четирима лекари, от които най-малко двама лекари със специалност „Клинична хематология“;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или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четирима лекари със специалност „Педи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softHyphen/>
              <w:t>атрия“, от които трима лекари със специалност „Детски болести и клинична хематология“ или „Детска хематология“ или „Детска клинична хематология и онкология“;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лекар със специалност „Клинична лаборатория“;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лекар със специалност „Образна диагнос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softHyphen/>
              <w:t>тика“.“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11.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В приложение № 18б „Амбулаторни процедури № 38 и 43“ се правят следните изменения и допълнения: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В амбулаторна процедура № 38 „Определяне на план на лечение и проследяване на терапевтичния отговор при пациенти, получаващи скъпоструващи лекарствени продукти по реда на чл. 78, т. 2 ЗЗО“, в АПр № 38.2 „Осигуряване на антихемофилни фактори за лечение на вродени коагулопатии“: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1.1. В т. I „Условия за сключване на договор и за изпълнение на амбулаторната процедура“, т. 1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таблицата „Задължително звено/медицинска апаратура“ точки „7. Цитогенетична лаборатория“, „8. Лаборатория по нуклеарно-медицинска диагностика“ и „10. Клиника/отделение/Лаборатория/център по трансфузионна хематология и осигурено обслужване на болницата 24 часа в денонощието, включително и при спешни състояния“ се заличават.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1.2. В т. I „Условия за сключване на договор и за изпълнение на амбулаторната процедура“, т. 1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т. „3. Необходими специалисти за изпълнение на амбулаторната процедура“: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а) цифрата „3“ в т. 3, т. 3.1 и т. 3.2 се заменя с „2“;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б) в т. 2.1 думите „двама лекари“ се заменят с „трима лекари“, а думите „- лекар със специалност трансфузионна хематология“ се заличават;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в) в т. 2.2 думите „- четирима лекари със специалност „Педиатрия“, от които трима лекари със специалност „Детски болести и клинична хематология“ се заменят с „- четирима лекари със специалност „Педиатрия“, от които трима лекари със специалност „Детски болести и хематология“ или „Детска хематология“ или „Детска клинична хематология и онкология“, а думите „- лекар със специалност „Трансфузионна хематология“ се заличават.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1.3. В приложение № 1 текстът в колона три „Данни за приложения антикоагулант“ се изменя така: „Данни за приложения фактор за кръвосъсирване (или коагулационен фактор)“.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2. Наименованието на амбулаторна процедура № 43 „Генетично профилиране на онкологични заболявания“ се изменя така: „Специфични изследвания на онкологични и онкохематологични заболявания за прицелна терапия“.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12.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В преходните и заключителните разпоредби към Договор № РД-НС-01-1-2 от  27 декември 2018 г. за изменение и допълнение на Националния рамков договор за медицинските дейности между Националната здравноосигурителна каса и Българския лекарски съюз за 2018 г. (ДВ, бр. 4 от 2019 г., в сила от 1.01.2019 г.) в § 105 се създава ал. 3: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„(3) Допълнителните споразумения с лечебните заведения за болнична помощ, изпълнители на КП № 51.1 „Диагностика и лечение на исхемичен мозъчен инсулт с тромболиза“, № 51.2 „Диагностика и лечение на исхемичен мозъчен инсулт с интервенционално лечение“, № 120.1 „Лечение на полиорганна недостатъчност, развила се след сърдечна операция“, № 120.2 „Лечение на полиорганна недостатъчност, развила се след сърдечна операция с продължителна механична вентилация“, № 206.1 „Краниотомии, неиндицирани от травма, чрез съвременни технологии (невроендоскопия и интраоперативен ултразвук)“ и № 206.2 „Краниотомии, неиндицирани от травма, чрез съвременни технологии (нев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softHyphen/>
              <w:t>ронавигация)“, както и АПр № 38 (относно „Осигуряване на антихемофилни фактори за лечение на вродени коагулопатии“) влизат в сила от 1.01.2019 г.“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13.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В § 1, т. 1 от допълнителната разпоредба се правят следните допълнения: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1. В буква „б“ след думите „§ 2, ал. 1 от ЗБНЗОК за 2018 г.“ се добавя „и § 2, ал. 1 от ЗБНЗОК за 2019 г.“.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 xml:space="preserve">2. В буква „в“ след думите „§ 9, ал. 1 от ЗБНЗОК за 2018 г.“ се добавя „и § 8, ал. 1 от ЗБНЗОК за 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lastRenderedPageBreak/>
              <w:t>2019 г.“.</w:t>
            </w:r>
          </w:p>
          <w:p w:rsidR="0020652C" w:rsidRPr="0020652C" w:rsidRDefault="0020652C" w:rsidP="0020652C">
            <w:pPr>
              <w:spacing w:line="13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Преходни и заключителни разпоредби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14.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Настоящият договор за изменение и допълнение на Националния рамков договор за медицинските дейности за 2018 г. влиза в сила от 1 февруари 2019 г., с изключение на медицинските дейности, за които § 12 предвижда друга дата за влизане в сила.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15.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Настоящият договор за изменение и допълнение на Националния рамков договор за медицинските дейности за 2018 г. се подписа на хартиен носител в четири еднообразни екземпляра, по един за: НЗОК, БЛС, министъра на здравеопазването и „Държавен вестник“.</w:t>
            </w:r>
          </w:p>
          <w:p w:rsidR="0020652C" w:rsidRPr="0020652C" w:rsidRDefault="0020652C" w:rsidP="0020652C">
            <w:pPr>
              <w:spacing w:line="132" w:lineRule="atLeast"/>
              <w:ind w:firstLine="283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bg-BG"/>
              </w:rPr>
              <w:t>§ 16.</w:t>
            </w:r>
            <w:r w:rsidRPr="002065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g-BG"/>
              </w:rPr>
              <w:t> Настоящият договор за изменение и допълнение на Националния рамков договор за медицинските дейности за 2018 г. се сключва на основание чл. 54, ал. 10 и чл. 55, ал. 5 от ЗЗО, съгласува се и се обнародва от министъра на здравеопазването в „Държавен вестник“ на основание чл. 54, ал. 7 от ЗЗО и се публикува на официалната интернет страница на НЗОК.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5"/>
              <w:gridCol w:w="3540"/>
            </w:tblGrid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За Националната здравно-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За Българския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осигурителна каса: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лекарски съюз: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Председател на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Председател на УС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НС на НЗОК: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на БЛС: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bg-BG"/>
                    </w:rPr>
                    <w:t>Жени Начева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bg-BG"/>
                    </w:rPr>
                    <w:t>Д-р Иван Маджаров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Членове на Надзорния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  <w:t> 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съвет на НЗОК: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  <w:t> 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2"/>
                      <w:sz w:val="17"/>
                      <w:szCs w:val="17"/>
                      <w:lang w:eastAsia="bg-BG"/>
                    </w:rPr>
                    <w:t>Д-р Бойко Пенков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bg-BG"/>
                    </w:rPr>
                    <w:t>Проф. д-р Николай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Галя Димитрова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bg-BG"/>
                    </w:rPr>
                    <w:t>Габровски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Росица Велкова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Д-р Николай Брънзалов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Д-р Иван Кокалов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Д-р Стоян Борисов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Теодор Василев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Д-р Атанас Атанасов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Григор Димитров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Доц. д-р Христо Шивачев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Оля Василева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Д-р Александър Заимов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Пламен Таушанов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Д-р Нели Нешева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1"/>
                      <w:szCs w:val="11"/>
                      <w:lang w:eastAsia="bg-BG"/>
                    </w:rPr>
                    <w:t> 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pacing w:val="-3"/>
                      <w:sz w:val="17"/>
                      <w:szCs w:val="17"/>
                      <w:lang w:eastAsia="bg-BG"/>
                    </w:rPr>
                    <w:t>Д-р Роза Анева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1"/>
                      <w:szCs w:val="11"/>
                      <w:lang w:eastAsia="bg-BG"/>
                    </w:rPr>
                    <w:t> 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bg-BG"/>
                    </w:rPr>
                    <w:t>Д-р Гергана Николова-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1"/>
                      <w:szCs w:val="11"/>
                      <w:lang w:eastAsia="bg-BG"/>
                    </w:rPr>
                    <w:t> 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bg-BG"/>
                    </w:rPr>
                    <w:t>Ширкова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Управител на НЗОК: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  <w:t> 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bg-BG"/>
                    </w:rPr>
                    <w:t>Д-р Дечо Дечев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  <w:t> 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  <w:t> 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Съгласувал: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  <w:t> 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Министър на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  <w:t> 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bg-BG"/>
                    </w:rPr>
                    <w:t>здравеопазването:</w:t>
                  </w:r>
                </w:p>
              </w:tc>
            </w:tr>
            <w:tr w:rsidR="0020652C" w:rsidRPr="0020652C" w:rsidTr="0020652C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  <w:t> 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652C" w:rsidRPr="0020652C" w:rsidRDefault="0020652C" w:rsidP="0020652C">
                  <w:pPr>
                    <w:spacing w:line="120" w:lineRule="atLeast"/>
                    <w:jc w:val="right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11"/>
                      <w:szCs w:val="11"/>
                      <w:lang w:eastAsia="bg-BG"/>
                    </w:rPr>
                  </w:pPr>
                  <w:r w:rsidRPr="0020652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bg-BG"/>
                    </w:rPr>
                    <w:t>Кирил Ананиев</w:t>
                  </w:r>
                </w:p>
              </w:tc>
            </w:tr>
          </w:tbl>
          <w:p w:rsidR="0020652C" w:rsidRPr="0020652C" w:rsidRDefault="0020652C" w:rsidP="0020652C">
            <w:pPr>
              <w:spacing w:line="132" w:lineRule="atLeast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</w:pPr>
            <w:r w:rsidRPr="0020652C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bg-BG"/>
              </w:rPr>
              <w:t> </w:t>
            </w:r>
          </w:p>
        </w:tc>
      </w:tr>
    </w:tbl>
    <w:p w:rsidR="00C10F63" w:rsidRDefault="00C10F63"/>
    <w:sectPr w:rsidR="00C10F63" w:rsidSect="00C1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2C"/>
    <w:rsid w:val="0020652C"/>
    <w:rsid w:val="003A623B"/>
    <w:rsid w:val="00A62038"/>
    <w:rsid w:val="00C10F63"/>
    <w:rsid w:val="00E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921E8-2ABE-4A5D-B342-055A6BF4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3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20652C"/>
  </w:style>
  <w:style w:type="paragraph" w:styleId="NormalWeb">
    <w:name w:val="Normal (Web)"/>
    <w:basedOn w:val="Normal"/>
    <w:uiPriority w:val="99"/>
    <w:semiHidden/>
    <w:unhideWhenUsed/>
    <w:rsid w:val="002065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71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49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10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1552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533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5020">
              <w:marLeft w:val="0"/>
              <w:marRight w:val="0"/>
              <w:marTop w:val="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25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68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723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00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37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92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2019-02-21T11:58:00Z</dcterms:created>
  <dcterms:modified xsi:type="dcterms:W3CDTF">2019-02-21T11:58:00Z</dcterms:modified>
</cp:coreProperties>
</file>