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2312E" w14:textId="5DE5C1D9" w:rsidR="00562DE8" w:rsidRDefault="00C14FE3" w:rsidP="00C14FE3">
      <w:pPr>
        <w:jc w:val="center"/>
        <w:rPr>
          <w:b/>
          <w:bCs/>
          <w:u w:val="single"/>
        </w:rPr>
      </w:pPr>
      <w:bookmarkStart w:id="0" w:name="_GoBack"/>
      <w:bookmarkEnd w:id="0"/>
      <w:r w:rsidRPr="00C14FE3">
        <w:rPr>
          <w:b/>
          <w:bCs/>
          <w:u w:val="single"/>
        </w:rPr>
        <w:t>COVID-19</w:t>
      </w:r>
    </w:p>
    <w:p w14:paraId="7DFD677D" w14:textId="77777777" w:rsidR="00F81A1A" w:rsidRDefault="00F81A1A" w:rsidP="00C14FE3">
      <w:pPr>
        <w:jc w:val="center"/>
        <w:rPr>
          <w:b/>
          <w:bCs/>
          <w:lang w:val="bg-BG"/>
        </w:rPr>
      </w:pPr>
      <w:r>
        <w:rPr>
          <w:b/>
          <w:bCs/>
          <w:lang w:val="bg-BG"/>
        </w:rPr>
        <w:t>Кратко упътване към</w:t>
      </w:r>
    </w:p>
    <w:p w14:paraId="524A8616" w14:textId="6DAA676F" w:rsidR="00C14FE3" w:rsidRDefault="00C14FE3" w:rsidP="00C14FE3">
      <w:pPr>
        <w:jc w:val="center"/>
        <w:rPr>
          <w:b/>
          <w:bCs/>
          <w:sz w:val="40"/>
          <w:szCs w:val="40"/>
          <w:u w:val="single"/>
          <w:lang w:val="bg-BG"/>
        </w:rPr>
      </w:pPr>
      <w:r w:rsidRPr="00F81A1A">
        <w:rPr>
          <w:b/>
          <w:bCs/>
          <w:sz w:val="40"/>
          <w:szCs w:val="40"/>
          <w:u w:val="single"/>
          <w:lang w:val="bg-BG"/>
        </w:rPr>
        <w:t>Клиничен протокол</w:t>
      </w:r>
    </w:p>
    <w:p w14:paraId="3D4F04E9" w14:textId="25AC263C" w:rsidR="00F81A1A" w:rsidRPr="00F81A1A" w:rsidRDefault="00F81A1A" w:rsidP="00C14FE3">
      <w:pPr>
        <w:jc w:val="center"/>
        <w:rPr>
          <w:b/>
          <w:bCs/>
        </w:rPr>
      </w:pPr>
      <w:r w:rsidRPr="00F81A1A">
        <w:rPr>
          <w:b/>
          <w:bCs/>
          <w:lang w:val="bg-BG"/>
        </w:rPr>
        <w:t xml:space="preserve">За диагностика и лечение на болни с </w:t>
      </w:r>
      <w:r w:rsidRPr="00F81A1A">
        <w:rPr>
          <w:b/>
          <w:bCs/>
        </w:rPr>
        <w:t>COVID-19</w:t>
      </w:r>
    </w:p>
    <w:p w14:paraId="1ADAF166" w14:textId="77777777" w:rsidR="00F81A1A" w:rsidRDefault="00F81A1A" w:rsidP="00C14FE3">
      <w:pPr>
        <w:jc w:val="center"/>
        <w:rPr>
          <w:b/>
          <w:bCs/>
          <w:lang w:val="bg-BG"/>
        </w:rPr>
      </w:pPr>
      <w:r>
        <w:rPr>
          <w:b/>
          <w:bCs/>
          <w:lang w:val="bg-BG"/>
        </w:rPr>
        <w:t>Съставен от д-р Румен Хичев на основата на препоръките на групата към Университета Джонс Хопкинс и Университетската клиника в Масачузетс, САЩ</w:t>
      </w:r>
    </w:p>
    <w:p w14:paraId="6AA1A74F" w14:textId="77777777" w:rsidR="00371C20" w:rsidRDefault="00371C20" w:rsidP="00C14FE3">
      <w:pPr>
        <w:jc w:val="center"/>
        <w:rPr>
          <w:b/>
          <w:bCs/>
          <w:sz w:val="18"/>
          <w:szCs w:val="18"/>
          <w:u w:val="single"/>
          <w:lang w:val="bg-BG"/>
        </w:rPr>
      </w:pPr>
    </w:p>
    <w:p w14:paraId="49171BCB" w14:textId="77777777" w:rsidR="00371C20" w:rsidRDefault="00371C20" w:rsidP="00C14FE3">
      <w:pPr>
        <w:jc w:val="center"/>
        <w:rPr>
          <w:b/>
          <w:bCs/>
          <w:sz w:val="18"/>
          <w:szCs w:val="18"/>
          <w:u w:val="single"/>
          <w:lang w:val="bg-BG"/>
        </w:rPr>
      </w:pPr>
    </w:p>
    <w:p w14:paraId="773B25E3" w14:textId="6A837B45" w:rsidR="00F81A1A" w:rsidRDefault="00F81A1A" w:rsidP="00C14FE3">
      <w:pPr>
        <w:jc w:val="center"/>
        <w:rPr>
          <w:b/>
          <w:bCs/>
          <w:sz w:val="18"/>
          <w:szCs w:val="18"/>
          <w:lang w:val="bg-BG"/>
        </w:rPr>
      </w:pPr>
      <w:r w:rsidRPr="00371C20">
        <w:rPr>
          <w:b/>
          <w:bCs/>
          <w:sz w:val="18"/>
          <w:szCs w:val="18"/>
          <w:u w:val="single"/>
          <w:lang w:val="bg-BG"/>
        </w:rPr>
        <w:t>Дисклеймър</w:t>
      </w:r>
      <w:r w:rsidRPr="00371C20">
        <w:rPr>
          <w:b/>
          <w:bCs/>
          <w:sz w:val="18"/>
          <w:szCs w:val="18"/>
          <w:lang w:val="bg-BG"/>
        </w:rPr>
        <w:t>: Настоящото кратко упътване няма претенциите да бъде изчерпателно</w:t>
      </w:r>
      <w:r w:rsidR="00371C20" w:rsidRPr="00371C20">
        <w:rPr>
          <w:b/>
          <w:bCs/>
          <w:sz w:val="18"/>
          <w:szCs w:val="18"/>
          <w:lang w:val="bg-BG"/>
        </w:rPr>
        <w:t xml:space="preserve"> и окончателно</w:t>
      </w:r>
      <w:r w:rsidRPr="00371C20">
        <w:rPr>
          <w:b/>
          <w:bCs/>
          <w:sz w:val="18"/>
          <w:szCs w:val="18"/>
          <w:lang w:val="bg-BG"/>
        </w:rPr>
        <w:t xml:space="preserve"> ръководство за диагностика и лечение на болни с </w:t>
      </w:r>
      <w:r w:rsidRPr="00371C20">
        <w:rPr>
          <w:b/>
          <w:bCs/>
          <w:sz w:val="18"/>
          <w:szCs w:val="18"/>
        </w:rPr>
        <w:t xml:space="preserve">COVID-19 , </w:t>
      </w:r>
      <w:r w:rsidRPr="00371C20">
        <w:rPr>
          <w:b/>
          <w:bCs/>
          <w:sz w:val="18"/>
          <w:szCs w:val="18"/>
          <w:lang w:val="bg-BG"/>
        </w:rPr>
        <w:t>тъй като</w:t>
      </w:r>
      <w:r w:rsidR="00371C20" w:rsidRPr="00371C20">
        <w:rPr>
          <w:b/>
          <w:bCs/>
          <w:sz w:val="18"/>
          <w:szCs w:val="18"/>
          <w:lang w:val="bg-BG"/>
        </w:rPr>
        <w:t xml:space="preserve"> е изготвено на основата на данни, които са актуални към месец март, 2020 г</w:t>
      </w:r>
      <w:r w:rsidR="00371C20">
        <w:rPr>
          <w:b/>
          <w:bCs/>
          <w:sz w:val="18"/>
          <w:szCs w:val="18"/>
        </w:rPr>
        <w:t>,</w:t>
      </w:r>
      <w:r w:rsidR="00371C20" w:rsidRPr="00371C20">
        <w:rPr>
          <w:b/>
          <w:bCs/>
          <w:sz w:val="18"/>
          <w:szCs w:val="18"/>
          <w:lang w:val="bg-BG"/>
        </w:rPr>
        <w:t xml:space="preserve"> и които подлежат на по-нататъшна актуализация в съответствие с големия обем новопостъпваща информация в хода на пандемията от </w:t>
      </w:r>
      <w:r w:rsidR="00371C20" w:rsidRPr="00371C20">
        <w:rPr>
          <w:b/>
          <w:bCs/>
          <w:sz w:val="18"/>
          <w:szCs w:val="18"/>
        </w:rPr>
        <w:t xml:space="preserve">COVID-19. </w:t>
      </w:r>
      <w:r w:rsidR="00361CDD">
        <w:rPr>
          <w:b/>
          <w:bCs/>
          <w:sz w:val="18"/>
          <w:szCs w:val="18"/>
          <w:lang w:val="bg-BG"/>
        </w:rPr>
        <w:t xml:space="preserve">Някои от параметрите са представени в империални метрични единици, каквито се ползват в САЩ, но могат лесно да бъдат конвертирани в </w:t>
      </w:r>
      <w:r w:rsidR="00361CDD">
        <w:rPr>
          <w:b/>
          <w:bCs/>
          <w:sz w:val="18"/>
          <w:szCs w:val="18"/>
        </w:rPr>
        <w:t>SI</w:t>
      </w:r>
      <w:r w:rsidR="00361CDD">
        <w:rPr>
          <w:b/>
          <w:bCs/>
          <w:sz w:val="18"/>
          <w:szCs w:val="18"/>
          <w:lang w:val="bg-BG"/>
        </w:rPr>
        <w:t xml:space="preserve">- единици, каквито се ползват в европейската здравна система. </w:t>
      </w:r>
      <w:r w:rsidR="00371C20">
        <w:rPr>
          <w:b/>
          <w:bCs/>
          <w:sz w:val="18"/>
          <w:szCs w:val="18"/>
          <w:lang w:val="bg-BG"/>
        </w:rPr>
        <w:t xml:space="preserve">Целта на това кратко упътване е </w:t>
      </w:r>
      <w:r w:rsidR="009C17AB">
        <w:rPr>
          <w:b/>
          <w:bCs/>
          <w:sz w:val="18"/>
          <w:szCs w:val="18"/>
          <w:lang w:val="bg-BG"/>
        </w:rPr>
        <w:t xml:space="preserve">да </w:t>
      </w:r>
      <w:r w:rsidR="00371C20">
        <w:rPr>
          <w:b/>
          <w:bCs/>
          <w:sz w:val="18"/>
          <w:szCs w:val="18"/>
          <w:lang w:val="bg-BG"/>
        </w:rPr>
        <w:t xml:space="preserve">даде само общи насоки относно диагностичната и лечебна концепция, но детайлните и окончателни клинични решения принадлежат и са отговорност на </w:t>
      </w:r>
      <w:r w:rsidR="00361CDD">
        <w:rPr>
          <w:b/>
          <w:bCs/>
          <w:sz w:val="18"/>
          <w:szCs w:val="18"/>
          <w:lang w:val="bg-BG"/>
        </w:rPr>
        <w:t>конкретния</w:t>
      </w:r>
      <w:r w:rsidR="00371C20">
        <w:rPr>
          <w:b/>
          <w:bCs/>
          <w:sz w:val="18"/>
          <w:szCs w:val="18"/>
          <w:lang w:val="bg-BG"/>
        </w:rPr>
        <w:t xml:space="preserve"> лекуващ лекар</w:t>
      </w:r>
      <w:r w:rsidR="0082716A">
        <w:rPr>
          <w:b/>
          <w:bCs/>
          <w:sz w:val="18"/>
          <w:szCs w:val="18"/>
          <w:lang w:val="bg-BG"/>
        </w:rPr>
        <w:t>. В хода на подготовката на това упътване</w:t>
      </w:r>
      <w:r w:rsidR="009C17AB">
        <w:rPr>
          <w:b/>
          <w:bCs/>
          <w:sz w:val="18"/>
          <w:szCs w:val="18"/>
          <w:lang w:val="bg-BG"/>
        </w:rPr>
        <w:t>, на 12-ти април 2020 г,</w:t>
      </w:r>
      <w:r w:rsidR="0082716A">
        <w:rPr>
          <w:b/>
          <w:bCs/>
          <w:sz w:val="18"/>
          <w:szCs w:val="18"/>
          <w:lang w:val="bg-BG"/>
        </w:rPr>
        <w:t xml:space="preserve"> бяха публикувани нови данни, които променят интерпретацията на някои </w:t>
      </w:r>
      <w:r w:rsidR="008E6AB8">
        <w:rPr>
          <w:b/>
          <w:bCs/>
          <w:sz w:val="18"/>
          <w:szCs w:val="18"/>
          <w:lang w:val="bg-BG"/>
        </w:rPr>
        <w:t xml:space="preserve">от </w:t>
      </w:r>
      <w:r w:rsidR="0082716A">
        <w:rPr>
          <w:b/>
          <w:bCs/>
          <w:sz w:val="18"/>
          <w:szCs w:val="18"/>
          <w:lang w:val="bg-BG"/>
        </w:rPr>
        <w:t>показатели</w:t>
      </w:r>
      <w:r w:rsidR="008E6AB8">
        <w:rPr>
          <w:b/>
          <w:bCs/>
          <w:sz w:val="18"/>
          <w:szCs w:val="18"/>
          <w:lang w:val="bg-BG"/>
        </w:rPr>
        <w:t>те</w:t>
      </w:r>
      <w:r w:rsidR="0082716A">
        <w:rPr>
          <w:b/>
          <w:bCs/>
          <w:sz w:val="18"/>
          <w:szCs w:val="18"/>
          <w:lang w:val="bg-BG"/>
        </w:rPr>
        <w:t xml:space="preserve">. Тези дани са представени в </w:t>
      </w:r>
      <w:r w:rsidR="0082716A" w:rsidRPr="00B46E84">
        <w:rPr>
          <w:b/>
          <w:bCs/>
          <w:sz w:val="18"/>
          <w:szCs w:val="18"/>
          <w:u w:val="single"/>
          <w:lang w:val="bg-BG"/>
        </w:rPr>
        <w:t>ЧАСТ 2</w:t>
      </w:r>
      <w:r w:rsidR="0082716A">
        <w:rPr>
          <w:b/>
          <w:bCs/>
          <w:sz w:val="18"/>
          <w:szCs w:val="18"/>
          <w:lang w:val="bg-BG"/>
        </w:rPr>
        <w:t xml:space="preserve"> на този документ.</w:t>
      </w:r>
    </w:p>
    <w:p w14:paraId="6B298792" w14:textId="3342DC35" w:rsidR="00371C20" w:rsidRDefault="00371C20" w:rsidP="00C14FE3">
      <w:pPr>
        <w:jc w:val="center"/>
        <w:rPr>
          <w:b/>
          <w:bCs/>
          <w:sz w:val="18"/>
          <w:szCs w:val="18"/>
          <w:lang w:val="bg-BG"/>
        </w:rPr>
      </w:pPr>
    </w:p>
    <w:p w14:paraId="2706B3F3" w14:textId="1BEAE1D5" w:rsidR="00371C20" w:rsidRPr="0082716A" w:rsidRDefault="0082716A" w:rsidP="00C14FE3">
      <w:pPr>
        <w:jc w:val="center"/>
        <w:rPr>
          <w:b/>
          <w:bCs/>
          <w:sz w:val="28"/>
          <w:szCs w:val="28"/>
          <w:u w:val="single"/>
          <w:lang w:val="bg-BG"/>
        </w:rPr>
      </w:pPr>
      <w:r>
        <w:rPr>
          <w:b/>
          <w:bCs/>
          <w:sz w:val="18"/>
          <w:szCs w:val="18"/>
          <w:lang w:val="bg-BG"/>
        </w:rPr>
        <w:tab/>
      </w:r>
      <w:r w:rsidRPr="0082716A">
        <w:rPr>
          <w:b/>
          <w:bCs/>
          <w:sz w:val="28"/>
          <w:szCs w:val="28"/>
          <w:u w:val="single"/>
          <w:lang w:val="bg-BG"/>
        </w:rPr>
        <w:t>ЧАСТ 1</w:t>
      </w:r>
    </w:p>
    <w:p w14:paraId="22046624" w14:textId="59B5E0ED" w:rsidR="00C14FE3" w:rsidRDefault="00CE65E7" w:rsidP="00C14FE3">
      <w:pPr>
        <w:rPr>
          <w:b/>
          <w:bCs/>
          <w:lang w:val="bg-BG"/>
        </w:rPr>
      </w:pPr>
      <w:r>
        <w:rPr>
          <w:b/>
          <w:bCs/>
        </w:rPr>
        <w:t>I</w:t>
      </w:r>
      <w:r w:rsidR="00C14FE3">
        <w:rPr>
          <w:b/>
          <w:bCs/>
          <w:lang w:val="bg-BG"/>
        </w:rPr>
        <w:t xml:space="preserve">. </w:t>
      </w:r>
      <w:r>
        <w:rPr>
          <w:b/>
          <w:bCs/>
        </w:rPr>
        <w:t xml:space="preserve"> </w:t>
      </w:r>
      <w:r w:rsidR="00371C20">
        <w:rPr>
          <w:b/>
          <w:bCs/>
          <w:lang w:val="bg-BG"/>
        </w:rPr>
        <w:t>Патофизиологични и д</w:t>
      </w:r>
      <w:r w:rsidR="00C14FE3">
        <w:rPr>
          <w:b/>
          <w:bCs/>
          <w:lang w:val="bg-BG"/>
        </w:rPr>
        <w:t>иагностични съображения</w:t>
      </w:r>
    </w:p>
    <w:p w14:paraId="3FF4E161" w14:textId="4E55FD71" w:rsidR="0041120B" w:rsidRDefault="00C14FE3" w:rsidP="00C14FE3">
      <w:pPr>
        <w:ind w:left="270"/>
        <w:rPr>
          <w:lang w:val="bg-BG"/>
        </w:rPr>
      </w:pPr>
      <w:r w:rsidRPr="00EF3136">
        <w:rPr>
          <w:lang w:val="bg-BG"/>
        </w:rPr>
        <w:t xml:space="preserve">Ранната диагностика на </w:t>
      </w:r>
      <w:r w:rsidRPr="00EF3136">
        <w:t xml:space="preserve">COVID-19 </w:t>
      </w:r>
      <w:r w:rsidRPr="00EF3136">
        <w:rPr>
          <w:lang w:val="bg-BG"/>
        </w:rPr>
        <w:t>е свързана със значителни трудности поради изключително широкия спектър от неспецифични симптоми и синдроми</w:t>
      </w:r>
      <w:r w:rsidR="00EF3136" w:rsidRPr="00EF3136">
        <w:t xml:space="preserve">, </w:t>
      </w:r>
      <w:r w:rsidR="00EF3136" w:rsidRPr="00EF3136">
        <w:rPr>
          <w:lang w:val="bg-BG"/>
        </w:rPr>
        <w:t>които биха могли да бъдат свързани с редица други заболявания</w:t>
      </w:r>
      <w:r w:rsidR="00EF3136">
        <w:rPr>
          <w:lang w:val="bg-BG"/>
        </w:rPr>
        <w:t xml:space="preserve">. Това се дължи до голяма степен на широката експресия на </w:t>
      </w:r>
      <w:r w:rsidR="00371C20" w:rsidRPr="00371C20">
        <w:rPr>
          <w:lang w:val="bg-BG"/>
        </w:rPr>
        <w:t>АСЕ-2</w:t>
      </w:r>
      <w:r w:rsidR="00EF3136">
        <w:rPr>
          <w:lang w:val="bg-BG"/>
        </w:rPr>
        <w:t xml:space="preserve"> рецепторния комплекс, използван от вируса за проникване в клетките</w:t>
      </w:r>
      <w:r w:rsidR="00371C20">
        <w:rPr>
          <w:lang w:val="bg-BG"/>
        </w:rPr>
        <w:t xml:space="preserve">.  </w:t>
      </w:r>
      <w:r w:rsidR="00371C20">
        <w:t>ATR-1/</w:t>
      </w:r>
      <w:r w:rsidR="00371C20">
        <w:rPr>
          <w:lang w:val="bg-BG"/>
        </w:rPr>
        <w:t>АСЕ</w:t>
      </w:r>
      <w:r w:rsidR="00371C20">
        <w:t>-</w:t>
      </w:r>
      <w:r w:rsidR="00371C20">
        <w:rPr>
          <w:lang w:val="bg-BG"/>
        </w:rPr>
        <w:t>2 рецепторният комплекс се намира</w:t>
      </w:r>
      <w:r w:rsidR="00EF3136">
        <w:rPr>
          <w:lang w:val="bg-BG"/>
        </w:rPr>
        <w:t xml:space="preserve"> по клетъчните мембрани на клетки </w:t>
      </w:r>
      <w:r w:rsidR="00F77090">
        <w:rPr>
          <w:lang w:val="bg-BG"/>
        </w:rPr>
        <w:t xml:space="preserve">в епителните, ендотелните и гладкомускулните структури на алвеоларния апарат на белия дроб, горните дихателни пътища, резорбтивния апарат на дуоденума и илеума, екстрахепаталните жлъчни пътища, миокарда, кръвоносните съдове, </w:t>
      </w:r>
      <w:r w:rsidR="00811B76">
        <w:rPr>
          <w:lang w:val="bg-BG"/>
        </w:rPr>
        <w:t>и други</w:t>
      </w:r>
      <w:r w:rsidR="0041120B">
        <w:rPr>
          <w:lang w:val="bg-BG"/>
        </w:rPr>
        <w:t>, което предопределя г</w:t>
      </w:r>
      <w:r w:rsidR="00811B76">
        <w:rPr>
          <w:lang w:val="bg-BG"/>
        </w:rPr>
        <w:t xml:space="preserve">олемия брой </w:t>
      </w:r>
      <w:r w:rsidR="00B73E61">
        <w:rPr>
          <w:lang w:val="bg-BG"/>
        </w:rPr>
        <w:t>органи и системи</w:t>
      </w:r>
      <w:r w:rsidR="0041120B">
        <w:rPr>
          <w:lang w:val="bg-BG"/>
        </w:rPr>
        <w:t xml:space="preserve"> уязвими от въздейстието на вируса </w:t>
      </w:r>
      <w:r w:rsidR="0041120B">
        <w:t>SARS-CoV-2.</w:t>
      </w:r>
      <w:r w:rsidR="0041120B">
        <w:rPr>
          <w:lang w:val="bg-BG"/>
        </w:rPr>
        <w:t xml:space="preserve"> Това</w:t>
      </w:r>
      <w:r w:rsidR="00B73E61">
        <w:rPr>
          <w:lang w:val="bg-BG"/>
        </w:rPr>
        <w:t xml:space="preserve"> обяснява и неспецифичната симптоматика на </w:t>
      </w:r>
      <w:r w:rsidR="00B73E61">
        <w:t>COVID-19</w:t>
      </w:r>
      <w:r w:rsidR="00B73E61">
        <w:rPr>
          <w:lang w:val="bg-BG"/>
        </w:rPr>
        <w:t xml:space="preserve">. </w:t>
      </w:r>
      <w:r w:rsidR="0041120B">
        <w:rPr>
          <w:lang w:val="bg-BG"/>
        </w:rPr>
        <w:t xml:space="preserve">При нормални нива на ангиотензин-2, рецепторният комплекс </w:t>
      </w:r>
      <w:r w:rsidR="0041120B">
        <w:t xml:space="preserve">ATR-1/ACE-2 e </w:t>
      </w:r>
      <w:r w:rsidR="0041120B">
        <w:rPr>
          <w:lang w:val="bg-BG"/>
        </w:rPr>
        <w:t xml:space="preserve">в свързано състояние, при което </w:t>
      </w:r>
      <w:r w:rsidR="0041120B">
        <w:t xml:space="preserve">ATR-1 </w:t>
      </w:r>
      <w:r w:rsidR="0041120B">
        <w:rPr>
          <w:lang w:val="bg-BG"/>
        </w:rPr>
        <w:t>е свързан с каталитичната зона на АСЕ2, използвана от вируса за проникване в клетката. Това не само блокира достъпа на вируса до клетъчната мембрана, но и насочва ренин-ангиотензиновата каскада през АСЕ2 с краен продукт ангиотензин 1-7 с противовъзпалителен и хипотензивен ефект. Това състояние се стабилизра от медикаменти от групата на АСЕ2-блокерите</w:t>
      </w:r>
      <w:r w:rsidR="00701D50">
        <w:rPr>
          <w:lang w:val="bg-BG"/>
        </w:rPr>
        <w:t>, а групата на АСЕ-инхибитор</w:t>
      </w:r>
      <w:r w:rsidR="007628E1">
        <w:rPr>
          <w:lang w:val="bg-BG"/>
        </w:rPr>
        <w:t>ите</w:t>
      </w:r>
      <w:r w:rsidR="00701D50">
        <w:rPr>
          <w:lang w:val="bg-BG"/>
        </w:rPr>
        <w:t xml:space="preserve"> поддържа тази конфигурация чрез намаляване на нивото на ангиотензин-2. При високи нива на ангиотензин-2 конфигурацията </w:t>
      </w:r>
      <w:r w:rsidR="00701D50">
        <w:t>ART-1/ACE2</w:t>
      </w:r>
      <w:r w:rsidR="00701D50">
        <w:rPr>
          <w:lang w:val="bg-BG"/>
        </w:rPr>
        <w:t xml:space="preserve"> се разцепва и това дава възможност на вирусния </w:t>
      </w:r>
      <w:r w:rsidR="00701D50">
        <w:t>S-</w:t>
      </w:r>
      <w:r w:rsidR="00701D50">
        <w:rPr>
          <w:lang w:val="bg-BG"/>
        </w:rPr>
        <w:t xml:space="preserve">протеин да се свърже с АСЕ2-рецептора и да проникне в клетката, а освен това ренин-ангиотензиновият каскаден процес преминава през освободения </w:t>
      </w:r>
      <w:r w:rsidR="00701D50">
        <w:t>ART-1</w:t>
      </w:r>
      <w:r w:rsidR="00701D50">
        <w:rPr>
          <w:lang w:val="bg-BG"/>
        </w:rPr>
        <w:t xml:space="preserve"> с краен ефект увеличаване на капилярния </w:t>
      </w:r>
      <w:r w:rsidR="00701D50">
        <w:rPr>
          <w:lang w:val="bg-BG"/>
        </w:rPr>
        <w:lastRenderedPageBreak/>
        <w:t xml:space="preserve">пермеабилитет на алвеолите, вазоконстрикция, хипертония, белодробен оток и в крайна сметка – остър респираторен дистрес синдром. </w:t>
      </w:r>
    </w:p>
    <w:p w14:paraId="7EBC74E9" w14:textId="77777777" w:rsidR="007628E1" w:rsidRDefault="00701D50" w:rsidP="007628E1">
      <w:pPr>
        <w:ind w:left="270"/>
        <w:rPr>
          <w:lang w:val="bg-BG"/>
        </w:rPr>
      </w:pPr>
      <w:r>
        <w:rPr>
          <w:lang w:val="bg-BG"/>
        </w:rPr>
        <w:t xml:space="preserve">Тези патофизиологични процеси обясняват както разнообразната клинична картина, с която се представя </w:t>
      </w:r>
      <w:r>
        <w:t xml:space="preserve">COVID-19, </w:t>
      </w:r>
      <w:r>
        <w:rPr>
          <w:lang w:val="bg-BG"/>
        </w:rPr>
        <w:t xml:space="preserve">така и тежките и често летални усложнения при пациенти с предлежаща хипертония, при които се очаква повишена експресия на АСЕ2 рецепторите </w:t>
      </w:r>
      <w:r w:rsidR="007628E1">
        <w:rPr>
          <w:lang w:val="bg-BG"/>
        </w:rPr>
        <w:t xml:space="preserve">в резултат на дългогодишна терапия с АСЕ-инхибитори и АТР-блокери. Протективният ефект обаче на тези медикаменти е причината, поради която Европейското общество по кардиология не препоръчва спирането им при коронавирусна инфекция. </w:t>
      </w:r>
      <w:r>
        <w:rPr>
          <w:lang w:val="bg-BG"/>
        </w:rPr>
        <w:t xml:space="preserve"> </w:t>
      </w:r>
    </w:p>
    <w:p w14:paraId="01A5A2F5" w14:textId="01CDF03E" w:rsidR="00C14FE3" w:rsidRPr="00B73E61" w:rsidRDefault="007628E1" w:rsidP="007628E1">
      <w:pPr>
        <w:ind w:left="270"/>
        <w:rPr>
          <w:lang w:val="bg-BG"/>
        </w:rPr>
      </w:pPr>
      <w:r>
        <w:rPr>
          <w:lang w:val="bg-BG"/>
        </w:rPr>
        <w:t>Освен разнообразната клинична картина, к</w:t>
      </w:r>
      <w:r w:rsidR="00B73E61">
        <w:rPr>
          <w:lang w:val="bg-BG"/>
        </w:rPr>
        <w:t xml:space="preserve">огато се добави и сравнително ниската чувствителност (около 75%) на приетите за диагностични цели молекулярни тестове (основно </w:t>
      </w:r>
      <w:r w:rsidR="00B73E61">
        <w:t>RT-PCR)</w:t>
      </w:r>
      <w:r w:rsidR="00B73E61">
        <w:rPr>
          <w:lang w:val="bg-BG"/>
        </w:rPr>
        <w:t xml:space="preserve"> се налага необходимостта диагностичният протокол да бъде базиран освен на клиничната картина и диагностичните тестове за установяване на вирусния геном, и на утвърдените с по-висока чувствителност (95%) образно-диагностични изследвания, вкл. компютърна томография и/или рентгенография, както и лабораторни изследвания с фокус върху определни маркери характерни за </w:t>
      </w:r>
      <w:r w:rsidR="00B73E61">
        <w:t xml:space="preserve">COVID-19. </w:t>
      </w:r>
      <w:r w:rsidR="00B73E61">
        <w:rPr>
          <w:lang w:val="bg-BG"/>
        </w:rPr>
        <w:t xml:space="preserve">  </w:t>
      </w:r>
    </w:p>
    <w:p w14:paraId="47DA541C" w14:textId="44BEA2BB" w:rsidR="00C14FE3" w:rsidRPr="00C47F32" w:rsidRDefault="00C47F32" w:rsidP="00C47F32">
      <w:pPr>
        <w:pStyle w:val="ListParagraph"/>
        <w:numPr>
          <w:ilvl w:val="0"/>
          <w:numId w:val="1"/>
        </w:numPr>
        <w:rPr>
          <w:lang w:val="bg-BG"/>
        </w:rPr>
      </w:pPr>
      <w:r w:rsidRPr="00C47F32">
        <w:rPr>
          <w:b/>
          <w:bCs/>
          <w:lang w:val="bg-BG"/>
        </w:rPr>
        <w:t>Преценка на инкубационния период.</w:t>
      </w:r>
    </w:p>
    <w:p w14:paraId="55DC8A90" w14:textId="5DDCE774" w:rsidR="00C47F32" w:rsidRDefault="00361CDD" w:rsidP="00C47F32">
      <w:pPr>
        <w:pStyle w:val="ListParagraph"/>
        <w:ind w:left="540"/>
        <w:rPr>
          <w:lang w:val="bg-BG"/>
        </w:rPr>
      </w:pPr>
      <w:r w:rsidRPr="00C47F32">
        <w:rPr>
          <w:lang w:val="bg-BG"/>
        </w:rPr>
        <w:t>А</w:t>
      </w:r>
      <w:r w:rsidR="00C47F32" w:rsidRPr="00C47F32">
        <w:rPr>
          <w:lang w:val="bg-BG"/>
        </w:rPr>
        <w:t xml:space="preserve">) средно 5-6 дни; най-краткият описан инкубационен период </w:t>
      </w:r>
      <w:r w:rsidR="00C47F32">
        <w:rPr>
          <w:lang w:val="bg-BG"/>
        </w:rPr>
        <w:t>е 2 дни, а най-продължителният е 27 дни;</w:t>
      </w:r>
    </w:p>
    <w:p w14:paraId="2CF05C04" w14:textId="6C5C9DF6" w:rsidR="00C47F32" w:rsidRDefault="00C47F32" w:rsidP="00C47F32">
      <w:pPr>
        <w:pStyle w:val="ListParagraph"/>
        <w:ind w:left="540"/>
        <w:rPr>
          <w:lang w:val="bg-BG"/>
        </w:rPr>
      </w:pPr>
      <w:r>
        <w:rPr>
          <w:lang w:val="bg-BG"/>
        </w:rPr>
        <w:t>б) влошаването обикновен</w:t>
      </w:r>
      <w:r w:rsidR="00080425">
        <w:t>o</w:t>
      </w:r>
      <w:r>
        <w:rPr>
          <w:lang w:val="bg-BG"/>
        </w:rPr>
        <w:t xml:space="preserve"> започва около 10-тия ден от инфекцията.</w:t>
      </w:r>
    </w:p>
    <w:p w14:paraId="781AC533" w14:textId="17E2EF35" w:rsidR="00C47F32" w:rsidRDefault="00361CDD" w:rsidP="00C47F32">
      <w:pPr>
        <w:pStyle w:val="ListParagraph"/>
        <w:ind w:left="540"/>
        <w:rPr>
          <w:lang w:val="bg-BG"/>
        </w:rPr>
      </w:pPr>
      <w:r>
        <w:rPr>
          <w:lang w:val="bg-BG"/>
        </w:rPr>
        <w:t>В</w:t>
      </w:r>
      <w:r w:rsidR="00C47F32">
        <w:rPr>
          <w:lang w:val="bg-BG"/>
        </w:rPr>
        <w:t>) в началото вирусният товар е концентриран предимно в назофарингеалната мукоза и е по-висок преди появата на симптоми, т.е. инфектираният е най-заразен за околните в периода преди клиничната проява на инфекцията;</w:t>
      </w:r>
    </w:p>
    <w:p w14:paraId="2398672D" w14:textId="613F32FF" w:rsidR="00C47F32" w:rsidRDefault="00C47F32" w:rsidP="00C47F32">
      <w:pPr>
        <w:pStyle w:val="ListParagraph"/>
        <w:ind w:left="540"/>
        <w:rPr>
          <w:lang w:val="bg-BG"/>
        </w:rPr>
      </w:pPr>
      <w:r>
        <w:rPr>
          <w:lang w:val="bg-BG"/>
        </w:rPr>
        <w:t>г) както симптоматични, така и асимптоматични пациенти могат да разпространяват вируса;</w:t>
      </w:r>
    </w:p>
    <w:p w14:paraId="5094390D" w14:textId="77777777" w:rsidR="00C47F32" w:rsidRPr="00C47F32" w:rsidRDefault="00C47F32" w:rsidP="00C47F32">
      <w:pPr>
        <w:pStyle w:val="ListParagraph"/>
        <w:ind w:left="540"/>
        <w:rPr>
          <w:lang w:val="bg-BG"/>
        </w:rPr>
      </w:pPr>
    </w:p>
    <w:p w14:paraId="32715225" w14:textId="2113B223" w:rsidR="00C47F32" w:rsidRDefault="00C47F32" w:rsidP="00C47F32">
      <w:pPr>
        <w:pStyle w:val="ListParagraph"/>
        <w:numPr>
          <w:ilvl w:val="0"/>
          <w:numId w:val="1"/>
        </w:numPr>
        <w:rPr>
          <w:b/>
          <w:bCs/>
          <w:lang w:val="bg-BG"/>
        </w:rPr>
      </w:pPr>
      <w:r>
        <w:rPr>
          <w:b/>
          <w:bCs/>
          <w:lang w:val="bg-BG"/>
        </w:rPr>
        <w:t>Клинични признаци.</w:t>
      </w:r>
    </w:p>
    <w:p w14:paraId="0BA5BC1D" w14:textId="1F088DF4" w:rsidR="00C47F32" w:rsidRDefault="00361CDD" w:rsidP="00C47F32">
      <w:pPr>
        <w:pStyle w:val="ListParagraph"/>
        <w:ind w:left="540"/>
        <w:rPr>
          <w:lang w:val="bg-BG"/>
        </w:rPr>
      </w:pPr>
      <w:r w:rsidRPr="00C47F32">
        <w:rPr>
          <w:lang w:val="bg-BG"/>
        </w:rPr>
        <w:t>А</w:t>
      </w:r>
      <w:r w:rsidR="00C47F32" w:rsidRPr="00C47F32">
        <w:rPr>
          <w:lang w:val="bg-BG"/>
        </w:rPr>
        <w:t>)</w:t>
      </w:r>
      <w:r w:rsidR="006C077A">
        <w:rPr>
          <w:lang w:val="bg-BG"/>
        </w:rPr>
        <w:t xml:space="preserve"> 80% от инфектираните развиват леките форми на заболяването, 15% - тежките, които налагат хоспитализация. Болничната инфраструктура трябва да има готовност да осигури интензивно лечение на 25% от хоспитализирнаите болни, като от 2.3 % до 3% от преведените в интензивните клиники може да се очаква че ще се нуждаят от респираторна реанимация на командно дишане.</w:t>
      </w:r>
    </w:p>
    <w:p w14:paraId="7EA84A1E" w14:textId="2D96B14B" w:rsidR="00610560" w:rsidRDefault="00361CDD" w:rsidP="00C47F32">
      <w:pPr>
        <w:pStyle w:val="ListParagraph"/>
        <w:ind w:left="540"/>
        <w:rPr>
          <w:lang w:val="bg-BG"/>
        </w:rPr>
      </w:pPr>
      <w:r>
        <w:rPr>
          <w:lang w:val="bg-BG"/>
        </w:rPr>
        <w:t>Б</w:t>
      </w:r>
      <w:r w:rsidR="0025721E">
        <w:rPr>
          <w:lang w:val="bg-BG"/>
        </w:rPr>
        <w:t xml:space="preserve">) </w:t>
      </w:r>
      <w:r w:rsidR="00470CBA">
        <w:rPr>
          <w:lang w:val="bg-BG"/>
        </w:rPr>
        <w:t>В</w:t>
      </w:r>
      <w:r w:rsidR="0025721E">
        <w:rPr>
          <w:lang w:val="bg-BG"/>
        </w:rPr>
        <w:t>одещата симптоматика включва умерен фебрилитет при 80% от пациентите с грипо-подобен синдром, признаци на възпаление на горните дихателни пътища, суха кашлица</w:t>
      </w:r>
      <w:r w:rsidR="00CA68D6">
        <w:rPr>
          <w:lang w:val="bg-BG"/>
        </w:rPr>
        <w:t xml:space="preserve"> (67.8%)</w:t>
      </w:r>
      <w:r w:rsidR="0025721E">
        <w:rPr>
          <w:lang w:val="bg-BG"/>
        </w:rPr>
        <w:t xml:space="preserve">, </w:t>
      </w:r>
      <w:r w:rsidR="00CA68D6">
        <w:rPr>
          <w:lang w:val="bg-BG"/>
        </w:rPr>
        <w:t xml:space="preserve">продуктивна кашлица при 37.8%, </w:t>
      </w:r>
      <w:r w:rsidR="00610560">
        <w:rPr>
          <w:lang w:val="bg-BG"/>
        </w:rPr>
        <w:t xml:space="preserve">задух, </w:t>
      </w:r>
      <w:r w:rsidR="0025721E">
        <w:rPr>
          <w:lang w:val="bg-BG"/>
        </w:rPr>
        <w:t xml:space="preserve">миалгия, обща отпадналост, но може да бъде представена и </w:t>
      </w:r>
      <w:r w:rsidR="00610560">
        <w:rPr>
          <w:lang w:val="bg-BG"/>
        </w:rPr>
        <w:t xml:space="preserve">с други водещи синдроми, вкл. кардио-циркулаторен – аритмия, резки флуктуации на артериалното налягане с изразена хипертония, задух при усилие, или гастро-интестинален </w:t>
      </w:r>
      <w:r w:rsidR="00CA68D6">
        <w:rPr>
          <w:lang w:val="bg-BG"/>
        </w:rPr>
        <w:t xml:space="preserve">при около 5% от случаите </w:t>
      </w:r>
      <w:r w:rsidR="00610560">
        <w:rPr>
          <w:lang w:val="bg-BG"/>
        </w:rPr>
        <w:t xml:space="preserve">– гадене, повръщане, разстройство, дехидратация, и др. </w:t>
      </w:r>
    </w:p>
    <w:p w14:paraId="236111E4" w14:textId="6EC29614" w:rsidR="00EF536D" w:rsidRDefault="00EF536D" w:rsidP="00C47F32">
      <w:pPr>
        <w:pStyle w:val="ListParagraph"/>
        <w:ind w:left="540"/>
        <w:rPr>
          <w:lang w:val="bg-BG"/>
        </w:rPr>
      </w:pPr>
      <w:r>
        <w:rPr>
          <w:lang w:val="bg-BG"/>
        </w:rPr>
        <w:t xml:space="preserve">в) </w:t>
      </w:r>
      <w:r w:rsidR="00470CBA">
        <w:rPr>
          <w:lang w:val="bg-BG"/>
        </w:rPr>
        <w:t>П</w:t>
      </w:r>
      <w:r>
        <w:rPr>
          <w:lang w:val="bg-BG"/>
        </w:rPr>
        <w:t>ри деца симптоматиката е по-завоалирана и налага при всички случаи потвърждение чрез образна диагностика – рентгенография на гр.кош или компютърна томография за изключване на нискосимптомна интерстициална пневмония.</w:t>
      </w:r>
    </w:p>
    <w:p w14:paraId="319A75C3" w14:textId="21DF2A2A" w:rsidR="0025721E" w:rsidRDefault="00361CDD" w:rsidP="00C47F32">
      <w:pPr>
        <w:pStyle w:val="ListParagraph"/>
        <w:ind w:left="540"/>
        <w:rPr>
          <w:lang w:val="bg-BG"/>
        </w:rPr>
      </w:pPr>
      <w:r>
        <w:rPr>
          <w:lang w:val="bg-BG"/>
        </w:rPr>
        <w:t>Г</w:t>
      </w:r>
      <w:r w:rsidR="00610560">
        <w:rPr>
          <w:lang w:val="bg-BG"/>
        </w:rPr>
        <w:t xml:space="preserve">) </w:t>
      </w:r>
      <w:r w:rsidR="00470CBA">
        <w:rPr>
          <w:lang w:val="bg-BG"/>
        </w:rPr>
        <w:t>В</w:t>
      </w:r>
      <w:r w:rsidR="00610560">
        <w:rPr>
          <w:lang w:val="bg-BG"/>
        </w:rPr>
        <w:t xml:space="preserve">ажно е да се знае, че според натрупания опит при сортировката и лечението на пациенти с </w:t>
      </w:r>
      <w:r w:rsidR="00610560">
        <w:t xml:space="preserve">COVID-19, </w:t>
      </w:r>
      <w:r w:rsidR="00610560">
        <w:rPr>
          <w:lang w:val="bg-BG"/>
        </w:rPr>
        <w:t xml:space="preserve">първоначално леката клинична симптоматика може много бързо (за часове) да </w:t>
      </w:r>
      <w:r w:rsidR="00610560">
        <w:rPr>
          <w:lang w:val="bg-BG"/>
        </w:rPr>
        <w:lastRenderedPageBreak/>
        <w:t>прогресира до критично състояние налагащо респираторна или кардиоциркулаторна реанимация</w:t>
      </w:r>
      <w:r w:rsidR="00EF536D">
        <w:rPr>
          <w:lang w:val="bg-BG"/>
        </w:rPr>
        <w:t>.</w:t>
      </w:r>
    </w:p>
    <w:p w14:paraId="2CB03666" w14:textId="77777777" w:rsidR="00EF536D" w:rsidRPr="0025721E" w:rsidRDefault="00EF536D" w:rsidP="00C47F32">
      <w:pPr>
        <w:pStyle w:val="ListParagraph"/>
        <w:ind w:left="540"/>
      </w:pPr>
    </w:p>
    <w:p w14:paraId="4B0EB45D" w14:textId="77777777" w:rsidR="000E0198" w:rsidRDefault="000E0198" w:rsidP="00C47F32">
      <w:pPr>
        <w:pStyle w:val="ListParagraph"/>
        <w:numPr>
          <w:ilvl w:val="0"/>
          <w:numId w:val="1"/>
        </w:numPr>
        <w:rPr>
          <w:b/>
          <w:bCs/>
          <w:lang w:val="bg-BG"/>
        </w:rPr>
      </w:pPr>
      <w:r>
        <w:rPr>
          <w:b/>
          <w:bCs/>
          <w:lang w:val="bg-BG"/>
        </w:rPr>
        <w:t>Препоръчителни изследвания.</w:t>
      </w:r>
    </w:p>
    <w:p w14:paraId="5020A626" w14:textId="7F3CDD77" w:rsidR="000E0198" w:rsidRDefault="000E0198" w:rsidP="000E0198">
      <w:pPr>
        <w:pStyle w:val="ListParagraph"/>
        <w:numPr>
          <w:ilvl w:val="0"/>
          <w:numId w:val="3"/>
        </w:numPr>
        <w:ind w:left="900"/>
        <w:rPr>
          <w:lang w:val="bg-BG"/>
        </w:rPr>
      </w:pPr>
      <w:r>
        <w:rPr>
          <w:lang w:val="bg-BG"/>
        </w:rPr>
        <w:t>Пулсова оксиметрия;</w:t>
      </w:r>
    </w:p>
    <w:p w14:paraId="5D0921BA" w14:textId="52A03CFA" w:rsidR="000E0198" w:rsidRDefault="000E0198" w:rsidP="000E0198">
      <w:pPr>
        <w:pStyle w:val="ListParagraph"/>
        <w:numPr>
          <w:ilvl w:val="0"/>
          <w:numId w:val="3"/>
        </w:numPr>
        <w:ind w:left="900"/>
        <w:rPr>
          <w:lang w:val="bg-BG"/>
        </w:rPr>
      </w:pPr>
      <w:r>
        <w:rPr>
          <w:lang w:val="bg-BG"/>
        </w:rPr>
        <w:t>Артериални кръвни газове;</w:t>
      </w:r>
    </w:p>
    <w:p w14:paraId="68502D84" w14:textId="50FC285C" w:rsidR="000E0198" w:rsidRDefault="000E0198" w:rsidP="000E0198">
      <w:pPr>
        <w:pStyle w:val="ListParagraph"/>
        <w:numPr>
          <w:ilvl w:val="0"/>
          <w:numId w:val="3"/>
        </w:numPr>
        <w:ind w:left="900"/>
        <w:rPr>
          <w:lang w:val="bg-BG"/>
        </w:rPr>
      </w:pPr>
      <w:r>
        <w:rPr>
          <w:lang w:val="bg-BG"/>
        </w:rPr>
        <w:t>Пълна кръвна картина;</w:t>
      </w:r>
    </w:p>
    <w:p w14:paraId="74A5208B" w14:textId="68B01296" w:rsidR="000E0198" w:rsidRDefault="000E0198" w:rsidP="000E0198">
      <w:pPr>
        <w:pStyle w:val="ListParagraph"/>
        <w:numPr>
          <w:ilvl w:val="0"/>
          <w:numId w:val="3"/>
        </w:numPr>
        <w:ind w:left="900"/>
        <w:rPr>
          <w:lang w:val="bg-BG"/>
        </w:rPr>
      </w:pPr>
      <w:r>
        <w:rPr>
          <w:lang w:val="bg-BG"/>
        </w:rPr>
        <w:t xml:space="preserve">Коагулационен статус, вкл. РТТ, </w:t>
      </w:r>
      <w:r>
        <w:t>D-dimers</w:t>
      </w:r>
      <w:r>
        <w:rPr>
          <w:lang w:val="bg-BG"/>
        </w:rPr>
        <w:t xml:space="preserve"> – пациенти с удължено протромбиново време и увеличени </w:t>
      </w:r>
      <w:r>
        <w:t>D-</w:t>
      </w:r>
      <w:r>
        <w:rPr>
          <w:lang w:val="bg-BG"/>
        </w:rPr>
        <w:t>димери са с по-лоша прогноза;</w:t>
      </w:r>
    </w:p>
    <w:p w14:paraId="37710C08" w14:textId="1B5E4891" w:rsidR="000E0198" w:rsidRDefault="000E0198" w:rsidP="000E0198">
      <w:pPr>
        <w:pStyle w:val="ListParagraph"/>
        <w:numPr>
          <w:ilvl w:val="0"/>
          <w:numId w:val="3"/>
        </w:numPr>
        <w:ind w:left="900"/>
        <w:rPr>
          <w:lang w:val="bg-BG"/>
        </w:rPr>
      </w:pPr>
      <w:r>
        <w:rPr>
          <w:lang w:val="bg-BG"/>
        </w:rPr>
        <w:t>Метаболитен профил – с внимание за повишени чернодробни ензими, нисък албумин и маркери за бъбречна недостатъчност;</w:t>
      </w:r>
    </w:p>
    <w:p w14:paraId="0B12ADD5" w14:textId="67AD3696" w:rsidR="002946BE" w:rsidRDefault="002946BE" w:rsidP="000E0198">
      <w:pPr>
        <w:pStyle w:val="ListParagraph"/>
        <w:numPr>
          <w:ilvl w:val="0"/>
          <w:numId w:val="3"/>
        </w:numPr>
        <w:ind w:left="900"/>
        <w:rPr>
          <w:lang w:val="bg-BG"/>
        </w:rPr>
      </w:pPr>
      <w:r>
        <w:rPr>
          <w:lang w:val="bg-BG"/>
        </w:rPr>
        <w:t>Серумен прокалцитонин – индикация за вторична бактериална инфекция при повишени стойности;</w:t>
      </w:r>
    </w:p>
    <w:p w14:paraId="7B13F9BF" w14:textId="4D894FF0" w:rsidR="002946BE" w:rsidRPr="002946BE" w:rsidRDefault="002946BE" w:rsidP="000E0198">
      <w:pPr>
        <w:pStyle w:val="ListParagraph"/>
        <w:numPr>
          <w:ilvl w:val="0"/>
          <w:numId w:val="3"/>
        </w:numPr>
        <w:ind w:left="900"/>
        <w:rPr>
          <w:lang w:val="bg-BG"/>
        </w:rPr>
      </w:pPr>
      <w:r>
        <w:t>CRP</w:t>
      </w:r>
      <w:r>
        <w:rPr>
          <w:lang w:val="bg-BG"/>
        </w:rPr>
        <w:t xml:space="preserve"> – повишените стойности са индикатор за тежестта на </w:t>
      </w:r>
      <w:r>
        <w:t>COVID-19;</w:t>
      </w:r>
    </w:p>
    <w:p w14:paraId="27CC8980" w14:textId="5821F6FB" w:rsidR="002946BE" w:rsidRDefault="002946BE" w:rsidP="000E0198">
      <w:pPr>
        <w:pStyle w:val="ListParagraph"/>
        <w:numPr>
          <w:ilvl w:val="0"/>
          <w:numId w:val="3"/>
        </w:numPr>
        <w:ind w:left="900"/>
        <w:rPr>
          <w:lang w:val="bg-BG"/>
        </w:rPr>
      </w:pPr>
      <w:r>
        <w:rPr>
          <w:lang w:val="bg-BG"/>
        </w:rPr>
        <w:t xml:space="preserve">Серумна </w:t>
      </w:r>
      <w:r>
        <w:t>LDH</w:t>
      </w:r>
      <w:r>
        <w:rPr>
          <w:lang w:val="bg-BG"/>
        </w:rPr>
        <w:t xml:space="preserve"> – повишена е при 73 – 76% от болните – показва хемолиза или ангажиране на ч. дроб.</w:t>
      </w:r>
    </w:p>
    <w:p w14:paraId="2A0CCEA8" w14:textId="71403C62" w:rsidR="002946BE" w:rsidRDefault="002946BE" w:rsidP="000E0198">
      <w:pPr>
        <w:pStyle w:val="ListParagraph"/>
        <w:numPr>
          <w:ilvl w:val="0"/>
          <w:numId w:val="3"/>
        </w:numPr>
        <w:ind w:left="900"/>
        <w:rPr>
          <w:lang w:val="bg-BG"/>
        </w:rPr>
      </w:pPr>
      <w:r>
        <w:rPr>
          <w:lang w:val="bg-BG"/>
        </w:rPr>
        <w:t xml:space="preserve">Серумен тропонин – алармен маркер за ангажиране на миокарда – </w:t>
      </w:r>
      <w:r>
        <w:t>COVID-19</w:t>
      </w:r>
      <w:r>
        <w:rPr>
          <w:lang w:val="bg-BG"/>
        </w:rPr>
        <w:t xml:space="preserve"> миокардит – лоша прогноза – над 50% от починалите имат коронавирусен миокардит;</w:t>
      </w:r>
    </w:p>
    <w:p w14:paraId="48595DAF" w14:textId="3F0D3425" w:rsidR="002946BE" w:rsidRDefault="002946BE" w:rsidP="000E0198">
      <w:pPr>
        <w:pStyle w:val="ListParagraph"/>
        <w:numPr>
          <w:ilvl w:val="0"/>
          <w:numId w:val="3"/>
        </w:numPr>
        <w:ind w:left="900"/>
        <w:rPr>
          <w:lang w:val="bg-BG"/>
        </w:rPr>
      </w:pPr>
      <w:r>
        <w:rPr>
          <w:lang w:val="bg-BG"/>
        </w:rPr>
        <w:t>Хемокултури и микробиология на спутум (преди стартиране на антибиотици);</w:t>
      </w:r>
    </w:p>
    <w:p w14:paraId="789648D4" w14:textId="2366A563" w:rsidR="002946BE" w:rsidRDefault="002946BE" w:rsidP="000E0198">
      <w:pPr>
        <w:pStyle w:val="ListParagraph"/>
        <w:numPr>
          <w:ilvl w:val="0"/>
          <w:numId w:val="3"/>
        </w:numPr>
        <w:ind w:left="900"/>
        <w:rPr>
          <w:lang w:val="bg-BG"/>
        </w:rPr>
      </w:pPr>
      <w:r>
        <w:t xml:space="preserve">RT-PCR </w:t>
      </w:r>
      <w:r>
        <w:rPr>
          <w:lang w:val="bg-BG"/>
        </w:rPr>
        <w:t xml:space="preserve">изследване на тампонни натривки от дълбоките отдели на назофарингеална мукоза (от всяка ноздра на отделен тампон) и орофарингеална мукоза – дълбоките натривки </w:t>
      </w:r>
      <w:r w:rsidR="00080425">
        <w:rPr>
          <w:lang w:val="bg-BG"/>
        </w:rPr>
        <w:t>с</w:t>
      </w:r>
      <w:r>
        <w:rPr>
          <w:lang w:val="bg-BG"/>
        </w:rPr>
        <w:t xml:space="preserve">а критично важни за чувствителността на теста, но трябва да се правят от персонал в лично защитно облекло, вкл. маска поне от клас </w:t>
      </w:r>
      <w:r>
        <w:t>N95</w:t>
      </w:r>
      <w:r w:rsidR="0031653B">
        <w:rPr>
          <w:lang w:val="bg-BG"/>
        </w:rPr>
        <w:t xml:space="preserve"> и очила</w:t>
      </w:r>
      <w:r>
        <w:rPr>
          <w:lang w:val="bg-BG"/>
        </w:rPr>
        <w:t xml:space="preserve"> поради риска</w:t>
      </w:r>
      <w:r w:rsidR="0031653B">
        <w:rPr>
          <w:lang w:val="bg-BG"/>
        </w:rPr>
        <w:t xml:space="preserve"> от въздушно-капково предаване чрез кашлица или кихане по време на вземането на пробите предизвикано от кашличния рефлекс на пациента. Трябва да се има пред вид че чувствителността на </w:t>
      </w:r>
      <w:r w:rsidR="0031653B">
        <w:t>RT-PCR</w:t>
      </w:r>
      <w:r w:rsidR="0031653B">
        <w:rPr>
          <w:lang w:val="bg-BG"/>
        </w:rPr>
        <w:t xml:space="preserve"> е между 70-75%, което налага преценка в комбинация с образна диагностика (вж. по-долу)</w:t>
      </w:r>
      <w:r w:rsidR="00080425">
        <w:rPr>
          <w:lang w:val="bg-BG"/>
        </w:rPr>
        <w:t>;</w:t>
      </w:r>
    </w:p>
    <w:p w14:paraId="1E258FE0" w14:textId="393ECE54" w:rsidR="0031653B" w:rsidRDefault="0031653B" w:rsidP="000E0198">
      <w:pPr>
        <w:pStyle w:val="ListParagraph"/>
        <w:numPr>
          <w:ilvl w:val="0"/>
          <w:numId w:val="3"/>
        </w:numPr>
        <w:ind w:left="900"/>
        <w:rPr>
          <w:lang w:val="bg-BG"/>
        </w:rPr>
      </w:pPr>
      <w:r>
        <w:rPr>
          <w:lang w:val="bg-BG"/>
        </w:rPr>
        <w:t xml:space="preserve">Рентгенография на гр.кош – </w:t>
      </w:r>
      <w:r w:rsidR="00673595">
        <w:rPr>
          <w:lang w:val="bg-BG"/>
        </w:rPr>
        <w:t>60% чувствителност но по-ниска специфичност. П</w:t>
      </w:r>
      <w:r>
        <w:rPr>
          <w:lang w:val="bg-BG"/>
        </w:rPr>
        <w:t>оказва двустранни инфилтрати при 75%, и едностранни инфилтрати при 25% от болните</w:t>
      </w:r>
      <w:r w:rsidR="00080425">
        <w:rPr>
          <w:lang w:val="bg-BG"/>
        </w:rPr>
        <w:t>;</w:t>
      </w:r>
    </w:p>
    <w:p w14:paraId="59208922" w14:textId="3BA5DB3B" w:rsidR="00673595" w:rsidRDefault="0031653B" w:rsidP="00562DE8">
      <w:pPr>
        <w:pStyle w:val="ListParagraph"/>
        <w:numPr>
          <w:ilvl w:val="0"/>
          <w:numId w:val="3"/>
        </w:numPr>
        <w:ind w:left="900"/>
        <w:rPr>
          <w:lang w:val="bg-BG"/>
        </w:rPr>
      </w:pPr>
      <w:r w:rsidRPr="0031653B">
        <w:rPr>
          <w:lang w:val="bg-BG"/>
        </w:rPr>
        <w:t xml:space="preserve">Компютърна томография на гр.кош – </w:t>
      </w:r>
      <w:r w:rsidR="00673595">
        <w:rPr>
          <w:lang w:val="bg-BG"/>
        </w:rPr>
        <w:t xml:space="preserve">има много висока чувствителност (97%) макар и ниска специфичност. Прави се </w:t>
      </w:r>
      <w:r w:rsidRPr="0031653B">
        <w:rPr>
          <w:lang w:val="bg-BG"/>
        </w:rPr>
        <w:t xml:space="preserve">при пациенти със съмнение за пневмония и нормална рентгенография. КТ-находките могат да предхождат позитивирането на </w:t>
      </w:r>
      <w:r>
        <w:t>RT-PCR</w:t>
      </w:r>
      <w:r w:rsidRPr="0031653B">
        <w:rPr>
          <w:lang w:val="bg-BG"/>
        </w:rPr>
        <w:t xml:space="preserve"> изследването на назофарингеални натривки. </w:t>
      </w:r>
      <w:r w:rsidR="00673595">
        <w:rPr>
          <w:lang w:val="bg-BG"/>
        </w:rPr>
        <w:t>Т</w:t>
      </w:r>
      <w:r w:rsidRPr="0031653B">
        <w:rPr>
          <w:lang w:val="bg-BG"/>
        </w:rPr>
        <w:t xml:space="preserve">ърси </w:t>
      </w:r>
      <w:r w:rsidR="00673595">
        <w:rPr>
          <w:lang w:val="bg-BG"/>
        </w:rPr>
        <w:t xml:space="preserve">се </w:t>
      </w:r>
      <w:r w:rsidRPr="0031653B">
        <w:rPr>
          <w:lang w:val="bg-BG"/>
        </w:rPr>
        <w:t>симптома на пасификация тип „</w:t>
      </w:r>
      <w:r w:rsidR="00CE65E7">
        <w:rPr>
          <w:lang w:val="bg-BG"/>
        </w:rPr>
        <w:t>матово</w:t>
      </w:r>
      <w:r w:rsidRPr="0031653B">
        <w:rPr>
          <w:lang w:val="bg-BG"/>
        </w:rPr>
        <w:t xml:space="preserve"> стъкло“</w:t>
      </w:r>
      <w:r w:rsidR="00673595">
        <w:rPr>
          <w:lang w:val="bg-BG"/>
        </w:rPr>
        <w:t xml:space="preserve"> (има го при 56% от болните)</w:t>
      </w:r>
      <w:r w:rsidRPr="0031653B">
        <w:rPr>
          <w:lang w:val="bg-BG"/>
        </w:rPr>
        <w:t xml:space="preserve">, множествени </w:t>
      </w:r>
      <w:r w:rsidR="00673595">
        <w:rPr>
          <w:lang w:val="bg-BG"/>
        </w:rPr>
        <w:t xml:space="preserve">кръпковидни </w:t>
      </w:r>
      <w:r w:rsidRPr="0031653B">
        <w:rPr>
          <w:lang w:val="bg-BG"/>
        </w:rPr>
        <w:t>петна</w:t>
      </w:r>
      <w:r w:rsidR="00673595">
        <w:rPr>
          <w:lang w:val="bg-BG"/>
        </w:rPr>
        <w:t xml:space="preserve"> двустранно има при 52% от случите, а едностранно при 42% от случаите</w:t>
      </w:r>
      <w:r w:rsidRPr="0031653B">
        <w:rPr>
          <w:lang w:val="bg-BG"/>
        </w:rPr>
        <w:t xml:space="preserve">, </w:t>
      </w:r>
      <w:r w:rsidR="00E31362">
        <w:rPr>
          <w:lang w:val="bg-BG"/>
        </w:rPr>
        <w:t xml:space="preserve">признак на </w:t>
      </w:r>
      <w:r w:rsidR="00CE65E7">
        <w:rPr>
          <w:lang w:val="bg-BG"/>
        </w:rPr>
        <w:t>изкривена</w:t>
      </w:r>
      <w:r w:rsidR="00E31362">
        <w:rPr>
          <w:lang w:val="bg-BG"/>
        </w:rPr>
        <w:t>та</w:t>
      </w:r>
      <w:r w:rsidR="00CE65E7">
        <w:rPr>
          <w:lang w:val="bg-BG"/>
        </w:rPr>
        <w:t xml:space="preserve"> решетка (</w:t>
      </w:r>
      <w:r w:rsidRPr="0031653B">
        <w:rPr>
          <w:lang w:val="bg-BG"/>
        </w:rPr>
        <w:t>crazy-paving</w:t>
      </w:r>
      <w:r w:rsidR="00CE65E7">
        <w:rPr>
          <w:lang w:val="bg-BG"/>
        </w:rPr>
        <w:t>)</w:t>
      </w:r>
      <w:r w:rsidRPr="0031653B">
        <w:rPr>
          <w:lang w:val="bg-BG"/>
        </w:rPr>
        <w:t xml:space="preserve">, и дребно-възлеста нодуларна пасификация тип „натрошено стъкло“ (при деца). </w:t>
      </w:r>
      <w:r w:rsidR="00673595">
        <w:rPr>
          <w:lang w:val="bg-BG"/>
        </w:rPr>
        <w:t>Видими интерстициални промени има при 15% от случаите.</w:t>
      </w:r>
    </w:p>
    <w:p w14:paraId="5336F3EF" w14:textId="0EE8B951" w:rsidR="0031653B" w:rsidRDefault="00673595" w:rsidP="00673595">
      <w:pPr>
        <w:pStyle w:val="ListParagraph"/>
        <w:ind w:left="900"/>
        <w:rPr>
          <w:lang w:val="bg-BG"/>
        </w:rPr>
      </w:pPr>
      <w:r>
        <w:rPr>
          <w:b/>
          <w:bCs/>
          <w:u w:val="single"/>
          <w:lang w:val="bg-BG"/>
        </w:rPr>
        <w:t>Заб</w:t>
      </w:r>
      <w:r w:rsidRPr="00673595">
        <w:rPr>
          <w:b/>
          <w:bCs/>
          <w:lang w:val="bg-BG"/>
        </w:rPr>
        <w:t xml:space="preserve">. </w:t>
      </w:r>
      <w:r w:rsidR="0031653B" w:rsidRPr="00673595">
        <w:rPr>
          <w:b/>
          <w:bCs/>
          <w:u w:val="single"/>
          <w:lang w:val="bg-BG"/>
        </w:rPr>
        <w:t>Не</w:t>
      </w:r>
      <w:r w:rsidR="0031653B">
        <w:rPr>
          <w:lang w:val="bg-BG"/>
        </w:rPr>
        <w:t xml:space="preserve"> са характерни</w:t>
      </w:r>
      <w:r>
        <w:rPr>
          <w:lang w:val="bg-BG"/>
        </w:rPr>
        <w:t xml:space="preserve"> за </w:t>
      </w:r>
      <w:r>
        <w:t>COVID-19</w:t>
      </w:r>
      <w:r w:rsidR="0031653B">
        <w:rPr>
          <w:lang w:val="bg-BG"/>
        </w:rPr>
        <w:t>: б</w:t>
      </w:r>
      <w:r w:rsidR="0031653B" w:rsidRPr="0031653B">
        <w:rPr>
          <w:lang w:val="bg-BG"/>
        </w:rPr>
        <w:t>елодробната кавитация, пулмонарни възли, ефузии и лимфаденопатия</w:t>
      </w:r>
      <w:r>
        <w:rPr>
          <w:lang w:val="bg-BG"/>
        </w:rPr>
        <w:t>.</w:t>
      </w:r>
    </w:p>
    <w:p w14:paraId="79C6DBAA" w14:textId="66476E5C" w:rsidR="00FF16C8" w:rsidRPr="00FF16C8" w:rsidRDefault="00673595" w:rsidP="00FF16C8">
      <w:pPr>
        <w:pStyle w:val="ListParagraph"/>
        <w:numPr>
          <w:ilvl w:val="0"/>
          <w:numId w:val="3"/>
        </w:numPr>
        <w:ind w:left="900"/>
        <w:rPr>
          <w:lang w:val="bg-BG"/>
        </w:rPr>
      </w:pPr>
      <w:r>
        <w:rPr>
          <w:lang w:val="bg-BG"/>
        </w:rPr>
        <w:t xml:space="preserve">Вирусна серология: </w:t>
      </w:r>
      <w:r>
        <w:t>H</w:t>
      </w:r>
      <w:r w:rsidR="00361CDD">
        <w:t>b</w:t>
      </w:r>
      <w:r>
        <w:t>sAg, H</w:t>
      </w:r>
      <w:r w:rsidR="00361CDD">
        <w:t>b</w:t>
      </w:r>
      <w:r>
        <w:t>sAb, H</w:t>
      </w:r>
      <w:r w:rsidR="00361CDD">
        <w:t>b</w:t>
      </w:r>
      <w:r>
        <w:t xml:space="preserve">cAb-total (IgM+IgG), HCV-Ab, HIV </w:t>
      </w:r>
      <w:r w:rsidR="00361CDD">
        <w:t>½</w:t>
      </w:r>
      <w:r>
        <w:t xml:space="preserve"> -Ab+Ag. </w:t>
      </w:r>
      <w:r w:rsidRPr="00FF16C8">
        <w:rPr>
          <w:b/>
          <w:bCs/>
          <w:u w:val="single"/>
          <w:lang w:val="bg-BG"/>
        </w:rPr>
        <w:t>ВНИМАНИЕ</w:t>
      </w:r>
      <w:r w:rsidRPr="00FF16C8">
        <w:rPr>
          <w:b/>
          <w:bCs/>
          <w:lang w:val="bg-BG"/>
        </w:rPr>
        <w:t>:</w:t>
      </w:r>
      <w:r>
        <w:rPr>
          <w:lang w:val="bg-BG"/>
        </w:rPr>
        <w:t xml:space="preserve"> препаратът </w:t>
      </w:r>
      <w:r>
        <w:t xml:space="preserve">Kaletra (Lopinavir/Ritonawir) </w:t>
      </w:r>
      <w:r w:rsidRPr="00FF16C8">
        <w:rPr>
          <w:u w:val="single"/>
          <w:lang w:val="bg-BG"/>
        </w:rPr>
        <w:t>да не се прилага като монотерапия</w:t>
      </w:r>
      <w:r>
        <w:rPr>
          <w:lang w:val="bg-BG"/>
        </w:rPr>
        <w:t xml:space="preserve"> при болни с </w:t>
      </w:r>
      <w:r>
        <w:t>HIV</w:t>
      </w:r>
      <w:r w:rsidR="00FF16C8">
        <w:t xml:space="preserve"> </w:t>
      </w:r>
      <w:r w:rsidR="00FF16C8">
        <w:rPr>
          <w:lang w:val="bg-BG"/>
        </w:rPr>
        <w:t xml:space="preserve">и </w:t>
      </w:r>
      <w:r>
        <w:t>COVID-19</w:t>
      </w:r>
      <w:r w:rsidR="00FF16C8">
        <w:rPr>
          <w:lang w:val="bg-BG"/>
        </w:rPr>
        <w:t>.</w:t>
      </w:r>
    </w:p>
    <w:p w14:paraId="12D81214" w14:textId="01963EE0" w:rsidR="00B4251F" w:rsidRPr="00B4251F" w:rsidRDefault="00E31362" w:rsidP="00B4251F">
      <w:pPr>
        <w:rPr>
          <w:b/>
          <w:bCs/>
          <w:lang w:val="bg-BG"/>
        </w:rPr>
      </w:pPr>
      <w:r>
        <w:rPr>
          <w:b/>
          <w:bCs/>
        </w:rPr>
        <w:lastRenderedPageBreak/>
        <w:t>II</w:t>
      </w:r>
      <w:r w:rsidR="00B4251F" w:rsidRPr="00B4251F">
        <w:rPr>
          <w:b/>
          <w:bCs/>
          <w:lang w:val="bg-BG"/>
        </w:rPr>
        <w:t>. Стратификация на риска</w:t>
      </w:r>
    </w:p>
    <w:p w14:paraId="37FECB00" w14:textId="0E5B3E4E" w:rsidR="00C47F32" w:rsidRDefault="00B4251F" w:rsidP="00B4251F">
      <w:pPr>
        <w:pStyle w:val="ListParagraph"/>
        <w:numPr>
          <w:ilvl w:val="0"/>
          <w:numId w:val="8"/>
        </w:numPr>
        <w:ind w:left="540"/>
        <w:rPr>
          <w:b/>
          <w:bCs/>
          <w:lang w:val="bg-BG"/>
        </w:rPr>
      </w:pPr>
      <w:r>
        <w:rPr>
          <w:b/>
          <w:bCs/>
          <w:lang w:val="bg-BG"/>
        </w:rPr>
        <w:t>Рискови придружаващи заболявания</w:t>
      </w:r>
    </w:p>
    <w:p w14:paraId="5D71E4CA" w14:textId="77777777" w:rsidR="00B4251F" w:rsidRDefault="00B4251F" w:rsidP="00B4251F">
      <w:pPr>
        <w:pStyle w:val="ListParagraph"/>
        <w:ind w:left="540"/>
        <w:rPr>
          <w:b/>
          <w:bCs/>
          <w:lang w:val="bg-BG"/>
        </w:rPr>
      </w:pPr>
    </w:p>
    <w:p w14:paraId="73A5FA82" w14:textId="77777777" w:rsidR="00B4251F" w:rsidRDefault="00CA68D6" w:rsidP="00CA68D6">
      <w:pPr>
        <w:pStyle w:val="ListParagraph"/>
        <w:ind w:left="540"/>
        <w:rPr>
          <w:lang w:val="bg-BG"/>
        </w:rPr>
      </w:pPr>
      <w:r w:rsidRPr="00B4251F">
        <w:rPr>
          <w:b/>
          <w:bCs/>
          <w:lang w:val="bg-BG"/>
        </w:rPr>
        <w:t>а)</w:t>
      </w:r>
      <w:r>
        <w:rPr>
          <w:lang w:val="bg-BG"/>
        </w:rPr>
        <w:t xml:space="preserve"> </w:t>
      </w:r>
      <w:r w:rsidR="00470CBA">
        <w:rPr>
          <w:lang w:val="bg-BG"/>
        </w:rPr>
        <w:t>С</w:t>
      </w:r>
      <w:r>
        <w:rPr>
          <w:lang w:val="bg-BG"/>
        </w:rPr>
        <w:t xml:space="preserve"> най-висока степен на риск са пациенти с придружаващи заболявания, като между тях най-висок е рискът за летален изход при пациенти с </w:t>
      </w:r>
      <w:r w:rsidRPr="00B4251F">
        <w:rPr>
          <w:b/>
          <w:bCs/>
          <w:lang w:val="bg-BG"/>
        </w:rPr>
        <w:t>хипертония</w:t>
      </w:r>
      <w:r>
        <w:rPr>
          <w:lang w:val="bg-BG"/>
        </w:rPr>
        <w:t xml:space="preserve"> като водещо придружаващо заболяване. </w:t>
      </w:r>
    </w:p>
    <w:p w14:paraId="2B28A4C7" w14:textId="43A881B4" w:rsidR="00B4251F" w:rsidRDefault="00E31362" w:rsidP="00CA68D6">
      <w:pPr>
        <w:pStyle w:val="ListParagraph"/>
        <w:ind w:left="540"/>
        <w:rPr>
          <w:lang w:val="bg-BG"/>
        </w:rPr>
      </w:pPr>
      <w:r>
        <w:rPr>
          <w:b/>
          <w:bCs/>
          <w:lang w:val="bg-BG"/>
        </w:rPr>
        <w:t>б</w:t>
      </w:r>
      <w:r w:rsidR="00B4251F">
        <w:rPr>
          <w:b/>
          <w:bCs/>
          <w:lang w:val="bg-BG"/>
        </w:rPr>
        <w:t xml:space="preserve">) </w:t>
      </w:r>
      <w:r w:rsidR="00CA68D6">
        <w:rPr>
          <w:lang w:val="bg-BG"/>
        </w:rPr>
        <w:t>На следващите места в класацията на риска са другите сърдечно-съдови заболявания, белодробни заболявания, метаболитни заболявания (диабет, метаболитен синдром), онкологични заболявания във фаза на радио- или химиотерапия,</w:t>
      </w:r>
      <w:r w:rsidR="00470CBA">
        <w:rPr>
          <w:lang w:val="bg-BG"/>
        </w:rPr>
        <w:t xml:space="preserve"> както и</w:t>
      </w:r>
      <w:r w:rsidR="00CA68D6">
        <w:rPr>
          <w:lang w:val="bg-BG"/>
        </w:rPr>
        <w:t xml:space="preserve"> реципиенти на трансплантирани органи</w:t>
      </w:r>
      <w:r w:rsidR="00470CBA">
        <w:rPr>
          <w:lang w:val="bg-BG"/>
        </w:rPr>
        <w:t>, които са</w:t>
      </w:r>
      <w:r w:rsidR="00CA68D6">
        <w:rPr>
          <w:lang w:val="bg-BG"/>
        </w:rPr>
        <w:t xml:space="preserve"> на имунотерапия</w:t>
      </w:r>
      <w:r w:rsidR="00470CBA">
        <w:rPr>
          <w:lang w:val="bg-BG"/>
        </w:rPr>
        <w:t xml:space="preserve">, и пациенти във възрастовата група над 65 г.  с рискови фактори и над 70 г без други рискови фактори. </w:t>
      </w:r>
    </w:p>
    <w:p w14:paraId="46A0ED05" w14:textId="25E2AAB2" w:rsidR="00B4251F" w:rsidRDefault="00E31362" w:rsidP="00CA68D6">
      <w:pPr>
        <w:pStyle w:val="ListParagraph"/>
        <w:ind w:left="540"/>
        <w:rPr>
          <w:lang w:val="bg-BG"/>
        </w:rPr>
      </w:pPr>
      <w:r>
        <w:rPr>
          <w:b/>
          <w:bCs/>
          <w:lang w:val="bg-BG"/>
        </w:rPr>
        <w:t>в</w:t>
      </w:r>
      <w:r w:rsidR="00B4251F">
        <w:rPr>
          <w:b/>
          <w:bCs/>
          <w:lang w:val="bg-BG"/>
        </w:rPr>
        <w:t xml:space="preserve">) </w:t>
      </w:r>
      <w:r w:rsidR="00470CBA">
        <w:rPr>
          <w:lang w:val="bg-BG"/>
        </w:rPr>
        <w:t xml:space="preserve">Пациенти на терапия с биологични препарати, в т.ч. ваксини, кръвни продукти, клетки, гени, рекомбинантни протеини и др. също попадат в рисковата група по отношение на </w:t>
      </w:r>
      <w:r w:rsidR="00470CBA">
        <w:t>COVID-19.</w:t>
      </w:r>
      <w:r w:rsidR="00470CBA">
        <w:rPr>
          <w:lang w:val="bg-BG"/>
        </w:rPr>
        <w:t xml:space="preserve"> </w:t>
      </w:r>
    </w:p>
    <w:p w14:paraId="1FCA0B4C" w14:textId="4089292D" w:rsidR="00CA68D6" w:rsidRDefault="00E31362" w:rsidP="00CA68D6">
      <w:pPr>
        <w:pStyle w:val="ListParagraph"/>
        <w:ind w:left="540"/>
        <w:rPr>
          <w:lang w:val="bg-BG"/>
        </w:rPr>
      </w:pPr>
      <w:r>
        <w:rPr>
          <w:b/>
          <w:bCs/>
          <w:lang w:val="bg-BG"/>
        </w:rPr>
        <w:t>г</w:t>
      </w:r>
      <w:r w:rsidR="00B4251F">
        <w:rPr>
          <w:b/>
          <w:bCs/>
          <w:lang w:val="bg-BG"/>
        </w:rPr>
        <w:t xml:space="preserve">) </w:t>
      </w:r>
      <w:r w:rsidR="00470CBA">
        <w:rPr>
          <w:lang w:val="bg-BG"/>
        </w:rPr>
        <w:t xml:space="preserve">Доуточняването на диагнозата и вторичната сортировка относно избора на лечебен протокол при </w:t>
      </w:r>
      <w:r w:rsidR="00B4251F">
        <w:rPr>
          <w:lang w:val="bg-BG"/>
        </w:rPr>
        <w:t>рискови</w:t>
      </w:r>
      <w:r w:rsidR="00470CBA">
        <w:rPr>
          <w:lang w:val="bg-BG"/>
        </w:rPr>
        <w:t xml:space="preserve"> пациенти трябва да става в болнични условия дори при първоначално лека симптоматика поради риска от внезапно влошаване и кардио-респираторен срив. </w:t>
      </w:r>
    </w:p>
    <w:p w14:paraId="5E95BE69" w14:textId="6064E459" w:rsidR="003A22F2" w:rsidRDefault="00E31362" w:rsidP="00CA68D6">
      <w:pPr>
        <w:pStyle w:val="ListParagraph"/>
        <w:ind w:left="540"/>
        <w:rPr>
          <w:lang w:val="bg-BG"/>
        </w:rPr>
      </w:pPr>
      <w:r>
        <w:rPr>
          <w:b/>
          <w:bCs/>
          <w:lang w:val="bg-BG"/>
        </w:rPr>
        <w:t>д</w:t>
      </w:r>
      <w:r w:rsidR="00B4251F" w:rsidRPr="00B4251F">
        <w:rPr>
          <w:b/>
          <w:bCs/>
          <w:lang w:val="bg-BG"/>
        </w:rPr>
        <w:t>)</w:t>
      </w:r>
      <w:r w:rsidR="00B4251F">
        <w:rPr>
          <w:lang w:val="bg-BG"/>
        </w:rPr>
        <w:t xml:space="preserve"> </w:t>
      </w:r>
      <w:r w:rsidR="00470CBA">
        <w:rPr>
          <w:lang w:val="bg-BG"/>
        </w:rPr>
        <w:t>Прогнозни фактори</w:t>
      </w:r>
      <w:r w:rsidR="003A22F2">
        <w:rPr>
          <w:lang w:val="bg-BG"/>
        </w:rPr>
        <w:t xml:space="preserve"> в момента на първичния преглед, които индицират риск</w:t>
      </w:r>
      <w:r w:rsidR="00470CBA">
        <w:rPr>
          <w:lang w:val="bg-BG"/>
        </w:rPr>
        <w:t xml:space="preserve"> за по-тежко протичане </w:t>
      </w:r>
      <w:r w:rsidR="003A22F2">
        <w:rPr>
          <w:lang w:val="bg-BG"/>
        </w:rPr>
        <w:t xml:space="preserve">са: </w:t>
      </w:r>
    </w:p>
    <w:p w14:paraId="29D5A057" w14:textId="77777777" w:rsidR="00B4251F" w:rsidRDefault="00B4251F" w:rsidP="00CA68D6">
      <w:pPr>
        <w:pStyle w:val="ListParagraph"/>
        <w:ind w:left="540"/>
        <w:rPr>
          <w:lang w:val="bg-BG"/>
        </w:rPr>
      </w:pPr>
    </w:p>
    <w:p w14:paraId="308D4F6C" w14:textId="77777777" w:rsidR="00FF16C8" w:rsidRDefault="003A22F2" w:rsidP="00FF16C8">
      <w:pPr>
        <w:pStyle w:val="ListParagraph"/>
        <w:numPr>
          <w:ilvl w:val="0"/>
          <w:numId w:val="2"/>
        </w:numPr>
        <w:ind w:left="1080"/>
        <w:rPr>
          <w:lang w:val="bg-BG"/>
        </w:rPr>
      </w:pPr>
      <w:r>
        <w:rPr>
          <w:lang w:val="bg-BG"/>
        </w:rPr>
        <w:t>дихателна честота над 24/мин;</w:t>
      </w:r>
    </w:p>
    <w:p w14:paraId="7B5AB6B7" w14:textId="77777777" w:rsidR="00FF16C8" w:rsidRDefault="003A22F2" w:rsidP="00FF16C8">
      <w:pPr>
        <w:pStyle w:val="ListParagraph"/>
        <w:numPr>
          <w:ilvl w:val="0"/>
          <w:numId w:val="2"/>
        </w:numPr>
        <w:ind w:left="1080"/>
        <w:rPr>
          <w:lang w:val="bg-BG"/>
        </w:rPr>
      </w:pPr>
      <w:r w:rsidRPr="00FF16C8">
        <w:rPr>
          <w:lang w:val="bg-BG"/>
        </w:rPr>
        <w:t>пулсова честота над 125/мин;</w:t>
      </w:r>
    </w:p>
    <w:p w14:paraId="799914C6" w14:textId="77777777" w:rsidR="00FF16C8" w:rsidRDefault="003A22F2" w:rsidP="00FF16C8">
      <w:pPr>
        <w:pStyle w:val="ListParagraph"/>
        <w:numPr>
          <w:ilvl w:val="0"/>
          <w:numId w:val="2"/>
        </w:numPr>
        <w:ind w:left="1080"/>
        <w:rPr>
          <w:lang w:val="bg-BG"/>
        </w:rPr>
      </w:pPr>
      <w:r w:rsidRPr="00FF16C8">
        <w:rPr>
          <w:lang w:val="bg-BG"/>
        </w:rPr>
        <w:t xml:space="preserve">периферна капилярна кислородна сатурация </w:t>
      </w:r>
      <w:r>
        <w:t>SpO2</w:t>
      </w:r>
      <w:r w:rsidRPr="00FF16C8">
        <w:rPr>
          <w:lang w:val="bg-BG"/>
        </w:rPr>
        <w:t>&lt;90% при стаен въздух;</w:t>
      </w:r>
    </w:p>
    <w:p w14:paraId="39A07B31" w14:textId="77777777" w:rsidR="00FF16C8" w:rsidRPr="00FF16C8" w:rsidRDefault="003A22F2" w:rsidP="00FF16C8">
      <w:pPr>
        <w:pStyle w:val="ListParagraph"/>
        <w:numPr>
          <w:ilvl w:val="0"/>
          <w:numId w:val="2"/>
        </w:numPr>
        <w:ind w:left="1080"/>
        <w:rPr>
          <w:lang w:val="bg-BG"/>
        </w:rPr>
      </w:pPr>
      <w:r w:rsidRPr="00FF16C8">
        <w:rPr>
          <w:lang w:val="bg-BG"/>
        </w:rPr>
        <w:t xml:space="preserve">от лабораторията: </w:t>
      </w:r>
      <w:r>
        <w:t>D-dimers</w:t>
      </w:r>
      <w:r w:rsidRPr="00FF16C8">
        <w:rPr>
          <w:lang w:val="bg-BG"/>
        </w:rPr>
        <w:t xml:space="preserve"> &gt; 1000 </w:t>
      </w:r>
      <w:r>
        <w:t>ng/ml</w:t>
      </w:r>
    </w:p>
    <w:p w14:paraId="247F8CD4" w14:textId="77777777" w:rsidR="00FF16C8" w:rsidRDefault="003A22F2" w:rsidP="00FF16C8">
      <w:pPr>
        <w:pStyle w:val="ListParagraph"/>
        <w:numPr>
          <w:ilvl w:val="0"/>
          <w:numId w:val="2"/>
        </w:numPr>
        <w:ind w:left="1080"/>
        <w:rPr>
          <w:lang w:val="bg-BG"/>
        </w:rPr>
      </w:pPr>
      <w:r>
        <w:t xml:space="preserve">CPK </w:t>
      </w:r>
      <w:r w:rsidRPr="00FF16C8">
        <w:rPr>
          <w:lang w:val="bg-BG"/>
        </w:rPr>
        <w:t>над 2х горната граница;</w:t>
      </w:r>
    </w:p>
    <w:p w14:paraId="7DC9B948" w14:textId="77777777" w:rsidR="00FF16C8" w:rsidRDefault="003A22F2" w:rsidP="00FF16C8">
      <w:pPr>
        <w:pStyle w:val="ListParagraph"/>
        <w:numPr>
          <w:ilvl w:val="0"/>
          <w:numId w:val="2"/>
        </w:numPr>
        <w:ind w:left="1080"/>
        <w:rPr>
          <w:lang w:val="bg-BG"/>
        </w:rPr>
      </w:pPr>
      <w:r>
        <w:t xml:space="preserve">CRP </w:t>
      </w:r>
      <w:r w:rsidRPr="00FF16C8">
        <w:rPr>
          <w:lang w:val="bg-BG"/>
        </w:rPr>
        <w:t>над 100;</w:t>
      </w:r>
    </w:p>
    <w:p w14:paraId="750753D2" w14:textId="77777777" w:rsidR="00FF16C8" w:rsidRPr="00FF16C8" w:rsidRDefault="003A22F2" w:rsidP="00FF16C8">
      <w:pPr>
        <w:pStyle w:val="ListParagraph"/>
        <w:numPr>
          <w:ilvl w:val="0"/>
          <w:numId w:val="2"/>
        </w:numPr>
        <w:ind w:left="1080"/>
        <w:rPr>
          <w:lang w:val="bg-BG"/>
        </w:rPr>
      </w:pPr>
      <w:r>
        <w:t xml:space="preserve">LDH </w:t>
      </w:r>
      <w:r w:rsidRPr="00FF16C8">
        <w:rPr>
          <w:lang w:val="bg-BG"/>
        </w:rPr>
        <w:t xml:space="preserve">над 245 </w:t>
      </w:r>
      <w:r>
        <w:t>U/L</w:t>
      </w:r>
    </w:p>
    <w:p w14:paraId="09FA8E00" w14:textId="77777777" w:rsidR="00FF16C8" w:rsidRDefault="003A22F2" w:rsidP="00FF16C8">
      <w:pPr>
        <w:pStyle w:val="ListParagraph"/>
        <w:numPr>
          <w:ilvl w:val="0"/>
          <w:numId w:val="2"/>
        </w:numPr>
        <w:ind w:left="1080"/>
        <w:rPr>
          <w:lang w:val="bg-BG"/>
        </w:rPr>
      </w:pPr>
      <w:r>
        <w:t xml:space="preserve">Troponin – </w:t>
      </w:r>
      <w:r w:rsidRPr="00FF16C8">
        <w:rPr>
          <w:lang w:val="bg-BG"/>
        </w:rPr>
        <w:t>повишен;</w:t>
      </w:r>
    </w:p>
    <w:p w14:paraId="3B7F01E8" w14:textId="77777777" w:rsidR="00FF16C8" w:rsidRDefault="003A22F2" w:rsidP="00FF16C8">
      <w:pPr>
        <w:pStyle w:val="ListParagraph"/>
        <w:numPr>
          <w:ilvl w:val="0"/>
          <w:numId w:val="2"/>
        </w:numPr>
        <w:ind w:left="1080"/>
        <w:rPr>
          <w:lang w:val="bg-BG"/>
        </w:rPr>
      </w:pPr>
      <w:r w:rsidRPr="00FF16C8">
        <w:rPr>
          <w:lang w:val="bg-BG"/>
        </w:rPr>
        <w:t xml:space="preserve">Абсолютни Лимфоцити под 800 </w:t>
      </w:r>
      <w:r>
        <w:t xml:space="preserve">U/L </w:t>
      </w:r>
      <w:r w:rsidRPr="00FF16C8">
        <w:rPr>
          <w:lang w:val="bg-BG"/>
        </w:rPr>
        <w:t>при приемането;</w:t>
      </w:r>
    </w:p>
    <w:p w14:paraId="685358E2" w14:textId="77777777" w:rsidR="00FF16C8" w:rsidRPr="00FF16C8" w:rsidRDefault="003A22F2" w:rsidP="00FF16C8">
      <w:pPr>
        <w:pStyle w:val="ListParagraph"/>
        <w:numPr>
          <w:ilvl w:val="0"/>
          <w:numId w:val="2"/>
        </w:numPr>
        <w:ind w:left="1080"/>
        <w:rPr>
          <w:lang w:val="bg-BG"/>
        </w:rPr>
      </w:pPr>
      <w:r>
        <w:t xml:space="preserve">Ferritin </w:t>
      </w:r>
      <w:r w:rsidR="000E0198" w:rsidRPr="00FF16C8">
        <w:rPr>
          <w:lang w:val="bg-BG"/>
        </w:rPr>
        <w:t>над 300</w:t>
      </w:r>
      <w:r w:rsidR="000E0198">
        <w:t xml:space="preserve"> Ug/L;</w:t>
      </w:r>
    </w:p>
    <w:p w14:paraId="019565E9" w14:textId="6085C897" w:rsidR="000E0198" w:rsidRDefault="000E0198" w:rsidP="00FF16C8">
      <w:pPr>
        <w:pStyle w:val="ListParagraph"/>
        <w:numPr>
          <w:ilvl w:val="0"/>
          <w:numId w:val="2"/>
        </w:numPr>
        <w:ind w:left="1080"/>
        <w:rPr>
          <w:lang w:val="bg-BG"/>
        </w:rPr>
      </w:pPr>
      <w:r w:rsidRPr="00FF16C8">
        <w:rPr>
          <w:lang w:val="bg-BG"/>
        </w:rPr>
        <w:t>Възраст над 70 г в комбинация с рискови фактори;</w:t>
      </w:r>
    </w:p>
    <w:p w14:paraId="076D37AE" w14:textId="609C0955" w:rsidR="00FF16C8" w:rsidRPr="00CA7128" w:rsidRDefault="00FF16C8" w:rsidP="00FF16C8">
      <w:pPr>
        <w:pStyle w:val="ListParagraph"/>
        <w:numPr>
          <w:ilvl w:val="0"/>
          <w:numId w:val="2"/>
        </w:numPr>
        <w:ind w:left="1080"/>
        <w:rPr>
          <w:lang w:val="bg-BG"/>
        </w:rPr>
      </w:pPr>
      <w:r>
        <w:rPr>
          <w:lang w:val="bg-BG"/>
        </w:rPr>
        <w:t xml:space="preserve">ЕКГ – базисно: да се следи за </w:t>
      </w:r>
      <w:r>
        <w:t xml:space="preserve">Q-T </w:t>
      </w:r>
      <w:r>
        <w:rPr>
          <w:lang w:val="bg-BG"/>
        </w:rPr>
        <w:t>интервала; при удължен</w:t>
      </w:r>
      <w:r>
        <w:t xml:space="preserve"> Q-T</w:t>
      </w:r>
      <w:r>
        <w:rPr>
          <w:lang w:val="bg-BG"/>
        </w:rPr>
        <w:t xml:space="preserve"> интервал над</w:t>
      </w:r>
      <w:r>
        <w:t xml:space="preserve"> 500</w:t>
      </w:r>
      <w:r>
        <w:rPr>
          <w:lang w:val="bg-BG"/>
        </w:rPr>
        <w:t xml:space="preserve"> милисекунди да не се включва терапия с </w:t>
      </w:r>
      <w:r>
        <w:t xml:space="preserve">Hidroxychloroquine/Azithromyicine </w:t>
      </w:r>
    </w:p>
    <w:p w14:paraId="5D1EE3CF" w14:textId="7AAB4442" w:rsidR="00CA7128" w:rsidRPr="00CA7128" w:rsidRDefault="00CA7128" w:rsidP="00FF16C8">
      <w:pPr>
        <w:pStyle w:val="ListParagraph"/>
        <w:numPr>
          <w:ilvl w:val="0"/>
          <w:numId w:val="2"/>
        </w:numPr>
        <w:ind w:left="1080"/>
        <w:rPr>
          <w:lang w:val="bg-BG"/>
        </w:rPr>
      </w:pPr>
      <w:r>
        <w:t xml:space="preserve">IL-6 – </w:t>
      </w:r>
      <w:r>
        <w:rPr>
          <w:lang w:val="bg-BG"/>
        </w:rPr>
        <w:t xml:space="preserve">нива на Интерлевкин-6 се пускат при риск от цитокинова буря преди първата доза </w:t>
      </w:r>
      <w:r>
        <w:t>Tocilizumab</w:t>
      </w:r>
      <w:r>
        <w:rPr>
          <w:lang w:val="bg-BG"/>
        </w:rPr>
        <w:t xml:space="preserve"> за да се прецени базалното ниво, тъй като </w:t>
      </w:r>
      <w:r>
        <w:t xml:space="preserve">Tocilizumab </w:t>
      </w:r>
      <w:r>
        <w:rPr>
          <w:lang w:val="bg-BG"/>
        </w:rPr>
        <w:t xml:space="preserve">блокира </w:t>
      </w:r>
      <w:r>
        <w:t>IL-6.</w:t>
      </w:r>
    </w:p>
    <w:p w14:paraId="590C8EA2" w14:textId="6AAFDAD2" w:rsidR="00CA68D6" w:rsidRPr="00CA7128" w:rsidRDefault="00CA7128" w:rsidP="00CA7128">
      <w:pPr>
        <w:pStyle w:val="ListParagraph"/>
        <w:numPr>
          <w:ilvl w:val="0"/>
          <w:numId w:val="2"/>
        </w:numPr>
        <w:ind w:left="1080"/>
        <w:rPr>
          <w:lang w:val="bg-BG"/>
        </w:rPr>
      </w:pPr>
      <w:r>
        <w:rPr>
          <w:lang w:val="bg-BG"/>
        </w:rPr>
        <w:t xml:space="preserve">Прокалцитонин – индикатор за вторична бактериална инфекция. </w:t>
      </w:r>
    </w:p>
    <w:p w14:paraId="2684B62C" w14:textId="768FC8D3" w:rsidR="00C14FE3" w:rsidRDefault="00E31362" w:rsidP="00C14FE3">
      <w:pPr>
        <w:rPr>
          <w:b/>
          <w:bCs/>
          <w:lang w:val="bg-BG"/>
        </w:rPr>
      </w:pPr>
      <w:r>
        <w:rPr>
          <w:b/>
          <w:bCs/>
        </w:rPr>
        <w:t>III</w:t>
      </w:r>
      <w:r w:rsidR="00C14FE3">
        <w:rPr>
          <w:b/>
          <w:bCs/>
          <w:lang w:val="bg-BG"/>
        </w:rPr>
        <w:t>. Триаж</w:t>
      </w:r>
      <w:r w:rsidR="00CA7128">
        <w:rPr>
          <w:b/>
          <w:bCs/>
          <w:lang w:val="bg-BG"/>
        </w:rPr>
        <w:t xml:space="preserve"> по групи</w:t>
      </w:r>
    </w:p>
    <w:p w14:paraId="523DF3E5" w14:textId="5734BE78" w:rsidR="00CA7128" w:rsidRDefault="00CA7128" w:rsidP="00CA7128">
      <w:pPr>
        <w:ind w:left="180"/>
        <w:rPr>
          <w:b/>
          <w:bCs/>
          <w:lang w:val="bg-BG"/>
        </w:rPr>
      </w:pPr>
      <w:r>
        <w:rPr>
          <w:b/>
          <w:bCs/>
          <w:lang w:val="bg-BG"/>
        </w:rPr>
        <w:t>1. Група за извънболнично наблюдение.</w:t>
      </w:r>
    </w:p>
    <w:p w14:paraId="1D7BE3AD" w14:textId="6585B400" w:rsidR="00436BAC" w:rsidRDefault="00436BAC" w:rsidP="00436BAC">
      <w:pPr>
        <w:pStyle w:val="ListParagraph"/>
        <w:numPr>
          <w:ilvl w:val="0"/>
          <w:numId w:val="4"/>
        </w:numPr>
        <w:ind w:left="720"/>
        <w:rPr>
          <w:lang w:val="bg-BG"/>
        </w:rPr>
      </w:pPr>
      <w:r>
        <w:rPr>
          <w:lang w:val="bg-BG"/>
        </w:rPr>
        <w:t>Превантивни неспецифични поддържащи грижи (</w:t>
      </w:r>
      <w:r>
        <w:t>Supportive care)</w:t>
      </w:r>
      <w:r>
        <w:rPr>
          <w:lang w:val="bg-BG"/>
        </w:rPr>
        <w:t xml:space="preserve"> в домашни или други извънболнични контролирани условия, в т.ч. център за изолация и карантина.</w:t>
      </w:r>
    </w:p>
    <w:p w14:paraId="555755F7" w14:textId="4B982A45" w:rsidR="00436BAC" w:rsidRDefault="00436BAC" w:rsidP="00436BAC">
      <w:pPr>
        <w:pStyle w:val="ListParagraph"/>
        <w:numPr>
          <w:ilvl w:val="0"/>
          <w:numId w:val="4"/>
        </w:numPr>
        <w:ind w:left="720"/>
        <w:rPr>
          <w:lang w:val="bg-BG"/>
        </w:rPr>
      </w:pPr>
      <w:r>
        <w:rPr>
          <w:lang w:val="bg-BG"/>
        </w:rPr>
        <w:lastRenderedPageBreak/>
        <w:t>Мониториране на състоянието чрез ежедневни теле-визитации и при нужда – визитации и прегледи на място.</w:t>
      </w:r>
    </w:p>
    <w:p w14:paraId="279A7F7F" w14:textId="77777777" w:rsidR="00B4251F" w:rsidRPr="00436BAC" w:rsidRDefault="00B4251F" w:rsidP="00B4251F">
      <w:pPr>
        <w:pStyle w:val="ListParagraph"/>
        <w:rPr>
          <w:lang w:val="bg-BG"/>
        </w:rPr>
      </w:pPr>
    </w:p>
    <w:p w14:paraId="785E0FAD" w14:textId="35472097" w:rsidR="00B4251F" w:rsidRDefault="00B4251F" w:rsidP="00B4251F">
      <w:pPr>
        <w:pStyle w:val="ListParagraph"/>
        <w:numPr>
          <w:ilvl w:val="0"/>
          <w:numId w:val="8"/>
        </w:numPr>
        <w:ind w:left="360"/>
        <w:rPr>
          <w:b/>
          <w:bCs/>
          <w:lang w:val="bg-BG"/>
        </w:rPr>
      </w:pPr>
      <w:r w:rsidRPr="00B4251F">
        <w:rPr>
          <w:b/>
          <w:bCs/>
          <w:lang w:val="bg-BG"/>
        </w:rPr>
        <w:t>Г</w:t>
      </w:r>
      <w:r w:rsidR="00CA7128" w:rsidRPr="00B4251F">
        <w:rPr>
          <w:b/>
          <w:bCs/>
          <w:lang w:val="bg-BG"/>
        </w:rPr>
        <w:t xml:space="preserve">рупа за хоспитализация в обособено </w:t>
      </w:r>
      <w:r w:rsidR="00CA7128" w:rsidRPr="00B4251F">
        <w:rPr>
          <w:b/>
          <w:bCs/>
        </w:rPr>
        <w:t xml:space="preserve">COVID-19 </w:t>
      </w:r>
      <w:r w:rsidR="00CA7128" w:rsidRPr="00B4251F">
        <w:rPr>
          <w:b/>
          <w:bCs/>
          <w:lang w:val="bg-BG"/>
        </w:rPr>
        <w:t>отделение/клиника.</w:t>
      </w:r>
    </w:p>
    <w:p w14:paraId="04BA0605" w14:textId="54DEC1DA" w:rsidR="00B4251F" w:rsidRPr="00B4251F" w:rsidRDefault="00B4251F" w:rsidP="00B4251F">
      <w:pPr>
        <w:pStyle w:val="ListParagraph"/>
        <w:ind w:left="360"/>
        <w:rPr>
          <w:b/>
          <w:bCs/>
          <w:lang w:val="bg-BG"/>
        </w:rPr>
      </w:pPr>
      <w:r>
        <w:rPr>
          <w:b/>
          <w:bCs/>
          <w:lang w:val="bg-BG"/>
        </w:rPr>
        <w:t>Терапевтични протоколи:</w:t>
      </w:r>
    </w:p>
    <w:p w14:paraId="09813D06" w14:textId="77777777" w:rsidR="0011637B" w:rsidRPr="00B4251F" w:rsidRDefault="00436BAC" w:rsidP="00A37648">
      <w:pPr>
        <w:ind w:left="180"/>
        <w:rPr>
          <w:b/>
          <w:bCs/>
          <w:lang w:val="bg-BG"/>
        </w:rPr>
      </w:pPr>
      <w:r>
        <w:rPr>
          <w:b/>
          <w:bCs/>
          <w:lang w:val="bg-BG"/>
        </w:rPr>
        <w:t xml:space="preserve">    </w:t>
      </w:r>
      <w:r w:rsidRPr="00B4251F">
        <w:rPr>
          <w:b/>
          <w:bCs/>
          <w:lang w:val="bg-BG"/>
        </w:rPr>
        <w:t xml:space="preserve">а) </w:t>
      </w:r>
      <w:r w:rsidRPr="00B4251F">
        <w:rPr>
          <w:b/>
          <w:bCs/>
          <w:u w:val="single"/>
          <w:lang w:val="bg-BG"/>
        </w:rPr>
        <w:t>Възраст под 55 г</w:t>
      </w:r>
      <w:r w:rsidR="00A37648" w:rsidRPr="00B4251F">
        <w:rPr>
          <w:b/>
          <w:bCs/>
          <w:u w:val="single"/>
          <w:lang w:val="bg-BG"/>
        </w:rPr>
        <w:t xml:space="preserve"> </w:t>
      </w:r>
      <w:r w:rsidR="0011637B" w:rsidRPr="00B4251F">
        <w:rPr>
          <w:b/>
          <w:bCs/>
          <w:u w:val="single"/>
          <w:lang w:val="bg-BG"/>
        </w:rPr>
        <w:t>без придружаващи рискови фактори</w:t>
      </w:r>
      <w:r w:rsidR="0011637B" w:rsidRPr="00B4251F">
        <w:rPr>
          <w:b/>
          <w:bCs/>
          <w:lang w:val="bg-BG"/>
        </w:rPr>
        <w:t>.</w:t>
      </w:r>
    </w:p>
    <w:p w14:paraId="08F037E2" w14:textId="2D065676" w:rsidR="0011637B" w:rsidRPr="0011637B" w:rsidRDefault="0011637B" w:rsidP="0011637B">
      <w:pPr>
        <w:pStyle w:val="ListParagraph"/>
        <w:numPr>
          <w:ilvl w:val="0"/>
          <w:numId w:val="6"/>
        </w:numPr>
        <w:rPr>
          <w:lang w:val="bg-BG"/>
        </w:rPr>
      </w:pPr>
      <w:r>
        <w:rPr>
          <w:lang w:val="bg-BG"/>
        </w:rPr>
        <w:t>Превантивни неспецифични поддържащи грижи (</w:t>
      </w:r>
      <w:r>
        <w:t>Supportive care)</w:t>
      </w:r>
    </w:p>
    <w:p w14:paraId="672FBB04" w14:textId="0DAAEF87" w:rsidR="0011637B" w:rsidRDefault="0011637B" w:rsidP="0011637B">
      <w:pPr>
        <w:pStyle w:val="ListParagraph"/>
        <w:numPr>
          <w:ilvl w:val="0"/>
          <w:numId w:val="6"/>
        </w:numPr>
        <w:rPr>
          <w:lang w:val="bg-BG"/>
        </w:rPr>
      </w:pPr>
      <w:r>
        <w:rPr>
          <w:lang w:val="bg-BG"/>
        </w:rPr>
        <w:t>Мониториране на състоянието.</w:t>
      </w:r>
    </w:p>
    <w:p w14:paraId="71B3BB5F" w14:textId="3615D6A8" w:rsidR="0011637B" w:rsidRPr="0011637B" w:rsidRDefault="0011637B" w:rsidP="0011637B">
      <w:pPr>
        <w:pStyle w:val="ListParagraph"/>
        <w:numPr>
          <w:ilvl w:val="0"/>
          <w:numId w:val="6"/>
        </w:numPr>
        <w:rPr>
          <w:lang w:val="bg-BG"/>
        </w:rPr>
      </w:pPr>
      <w:r>
        <w:rPr>
          <w:lang w:val="bg-BG"/>
        </w:rPr>
        <w:t>Повторение на лабораторните изследвания на определн период определен от лекуващия лекар.</w:t>
      </w:r>
    </w:p>
    <w:p w14:paraId="36B4BC20" w14:textId="1009C9CF" w:rsidR="0011637B" w:rsidRDefault="00E31362" w:rsidP="00436BAC">
      <w:pPr>
        <w:ind w:left="450"/>
        <w:rPr>
          <w:b/>
          <w:bCs/>
          <w:lang w:val="bg-BG"/>
        </w:rPr>
      </w:pPr>
      <w:r>
        <w:rPr>
          <w:b/>
          <w:bCs/>
          <w:lang w:val="bg-BG"/>
        </w:rPr>
        <w:t>б</w:t>
      </w:r>
      <w:r w:rsidR="0011637B" w:rsidRPr="00F337FE">
        <w:rPr>
          <w:b/>
          <w:bCs/>
          <w:lang w:val="bg-BG"/>
        </w:rPr>
        <w:t xml:space="preserve">) </w:t>
      </w:r>
      <w:r w:rsidR="0011637B" w:rsidRPr="00F337FE">
        <w:rPr>
          <w:b/>
          <w:bCs/>
          <w:u w:val="single"/>
          <w:lang w:val="bg-BG"/>
        </w:rPr>
        <w:t>Възраст над 55 г или под 55 г но с поне един придружаващ рисков фактор от 2-ра и/или 3-та категория</w:t>
      </w:r>
      <w:r w:rsidR="00F337FE">
        <w:rPr>
          <w:b/>
          <w:bCs/>
          <w:u w:val="single"/>
          <w:lang w:val="bg-BG"/>
        </w:rPr>
        <w:t xml:space="preserve"> и умерена или прогресираща симптоматика</w:t>
      </w:r>
      <w:r w:rsidR="0011637B" w:rsidRPr="00F337FE">
        <w:rPr>
          <w:b/>
          <w:bCs/>
          <w:lang w:val="bg-BG"/>
        </w:rPr>
        <w:t>:</w:t>
      </w:r>
    </w:p>
    <w:p w14:paraId="76432DE6" w14:textId="4786C48B" w:rsidR="00F337FE" w:rsidRPr="00F337FE" w:rsidRDefault="00F337FE" w:rsidP="00F337FE">
      <w:pPr>
        <w:pStyle w:val="ListParagraph"/>
        <w:numPr>
          <w:ilvl w:val="0"/>
          <w:numId w:val="7"/>
        </w:numPr>
        <w:rPr>
          <w:lang w:val="bg-BG"/>
        </w:rPr>
      </w:pPr>
      <w:r>
        <w:rPr>
          <w:lang w:val="bg-BG"/>
        </w:rPr>
        <w:t>Започва се статин (</w:t>
      </w:r>
      <w:r w:rsidRPr="00F337FE">
        <w:rPr>
          <w:b/>
          <w:bCs/>
        </w:rPr>
        <w:t>Crestor</w:t>
      </w:r>
      <w:r>
        <w:t xml:space="preserve"> x20mg)</w:t>
      </w:r>
      <w:r w:rsidR="00B46E84">
        <w:rPr>
          <w:lang w:val="bg-BG"/>
        </w:rPr>
        <w:t xml:space="preserve">. Тъй като статините имат инхибиращ ефект върху ензимното разграждане на </w:t>
      </w:r>
      <w:r w:rsidR="00B46E84">
        <w:t xml:space="preserve">Remdesivir </w:t>
      </w:r>
      <w:r w:rsidR="00B46E84">
        <w:rPr>
          <w:lang w:val="bg-BG"/>
        </w:rPr>
        <w:t>в черния дроб е добре да се следят чернодробните трансаминази по време на лечението.</w:t>
      </w:r>
    </w:p>
    <w:p w14:paraId="3893962A" w14:textId="48A9FC92" w:rsidR="00F337FE" w:rsidRPr="00F337FE" w:rsidRDefault="00F337FE" w:rsidP="00F337FE">
      <w:pPr>
        <w:pStyle w:val="ListParagraph"/>
        <w:numPr>
          <w:ilvl w:val="0"/>
          <w:numId w:val="7"/>
        </w:numPr>
        <w:rPr>
          <w:lang w:val="bg-BG"/>
        </w:rPr>
      </w:pPr>
      <w:r>
        <w:rPr>
          <w:lang w:val="bg-BG"/>
        </w:rPr>
        <w:t xml:space="preserve">Започва се </w:t>
      </w:r>
      <w:r w:rsidRPr="00F337FE">
        <w:rPr>
          <w:b/>
          <w:bCs/>
          <w:lang w:val="bg-BG"/>
        </w:rPr>
        <w:t>Remdesivir</w:t>
      </w:r>
      <w:r w:rsidRPr="00F337FE">
        <w:rPr>
          <w:lang w:val="bg-BG"/>
        </w:rPr>
        <w:t xml:space="preserve"> в следните дозировки: </w:t>
      </w:r>
      <w:r w:rsidRPr="00B90621">
        <w:rPr>
          <w:b/>
          <w:bCs/>
          <w:lang w:val="bg-BG"/>
        </w:rPr>
        <w:t>200</w:t>
      </w:r>
      <w:r w:rsidRPr="00F337FE">
        <w:rPr>
          <w:lang w:val="bg-BG"/>
        </w:rPr>
        <w:t xml:space="preserve"> </w:t>
      </w:r>
      <w:r w:rsidRPr="00B90621">
        <w:rPr>
          <w:b/>
          <w:bCs/>
          <w:lang w:val="bg-BG"/>
        </w:rPr>
        <w:t>mg</w:t>
      </w:r>
      <w:r w:rsidRPr="00F337FE">
        <w:rPr>
          <w:lang w:val="bg-BG"/>
        </w:rPr>
        <w:t xml:space="preserve"> интравенозно в ударна доза за бързо достигане на серумна концентрация, последвано от: </w:t>
      </w:r>
      <w:r w:rsidRPr="00B90621">
        <w:rPr>
          <w:b/>
          <w:bCs/>
          <w:lang w:val="bg-BG"/>
        </w:rPr>
        <w:t>100 mg</w:t>
      </w:r>
      <w:r w:rsidRPr="00F337FE">
        <w:rPr>
          <w:lang w:val="bg-BG"/>
        </w:rPr>
        <w:t xml:space="preserve"> интравенозно </w:t>
      </w:r>
      <w:r w:rsidRPr="00B90621">
        <w:rPr>
          <w:b/>
          <w:bCs/>
          <w:lang w:val="bg-BG"/>
        </w:rPr>
        <w:t>х1</w:t>
      </w:r>
      <w:r w:rsidRPr="00F337FE">
        <w:rPr>
          <w:lang w:val="bg-BG"/>
        </w:rPr>
        <w:t xml:space="preserve"> на ден за </w:t>
      </w:r>
      <w:r w:rsidRPr="00B90621">
        <w:rPr>
          <w:b/>
          <w:bCs/>
          <w:lang w:val="bg-BG"/>
        </w:rPr>
        <w:t>10 дни</w:t>
      </w:r>
      <w:r w:rsidRPr="00F337FE">
        <w:rPr>
          <w:lang w:val="bg-BG"/>
        </w:rPr>
        <w:t xml:space="preserve">. Remdesivir може да се получи или чрез включване в клинично проучване (clinical trial) или чрез изписване на медикамента по програмата на FDA за разширен достъп (Expanded Access Program) за индивидуално приложение по хуманни съображения. За да отговори на изискванията по тази програма (Compassionate use) пациентът трябва да е (а) хоспитализиран, (б) с потвърдена инфекция от SARS-CoV-2 чрез PCR, и (в) да е на командно дишане. Следните групи пациенти са изключени от програмата за разширен достъп  до remdesivir“: </w:t>
      </w:r>
      <w:r>
        <w:t xml:space="preserve">(i) </w:t>
      </w:r>
      <w:r w:rsidRPr="00F337FE">
        <w:rPr>
          <w:lang w:val="bg-BG"/>
        </w:rPr>
        <w:t>Пациенти с мултиорганна недостатъчност;</w:t>
      </w:r>
      <w:r>
        <w:t xml:space="preserve"> (ii) </w:t>
      </w:r>
      <w:r w:rsidRPr="00F337FE">
        <w:rPr>
          <w:lang w:val="bg-BG"/>
        </w:rPr>
        <w:t>Хипотензивни пациенти изискващи вазопресорна терапия;</w:t>
      </w:r>
      <w:r>
        <w:t xml:space="preserve"> (iii) </w:t>
      </w:r>
      <w:r w:rsidRPr="00F337FE">
        <w:rPr>
          <w:lang w:val="bg-BG"/>
        </w:rPr>
        <w:t>Пациенти с ALT &gt; от 5 пъти над горната граница на нормата;</w:t>
      </w:r>
      <w:r>
        <w:t xml:space="preserve"> (iv) </w:t>
      </w:r>
      <w:r w:rsidRPr="00F337FE">
        <w:rPr>
          <w:lang w:val="bg-BG"/>
        </w:rPr>
        <w:t>Пациенти с креатининов клиърънс CrCl &lt; 30 ml/min, или на хемодиализа, или на продължителна вено-венозна хемофилтрация (CVVH).</w:t>
      </w:r>
      <w:r>
        <w:t xml:space="preserve">  </w:t>
      </w:r>
      <w:r w:rsidRPr="00F337FE">
        <w:rPr>
          <w:lang w:val="bg-BG"/>
        </w:rPr>
        <w:t xml:space="preserve">Кандидатстване по програмата за разширен достъп може да се направи онлайн: </w:t>
      </w:r>
      <w:hyperlink r:id="rId10" w:history="1">
        <w:r w:rsidR="00361CDD" w:rsidRPr="00F6511F">
          <w:rPr>
            <w:rStyle w:val="Hyperlink"/>
            <w:lang w:val="bg-BG"/>
          </w:rPr>
          <w:t>https://rdvcu</w:t>
        </w:r>
      </w:hyperlink>
      <w:r w:rsidRPr="00F337FE">
        <w:rPr>
          <w:lang w:val="bg-BG"/>
        </w:rPr>
        <w:t>.gilead.com/</w:t>
      </w:r>
    </w:p>
    <w:p w14:paraId="6985ED92" w14:textId="1D71A214" w:rsidR="00F337FE" w:rsidRPr="00F337FE" w:rsidRDefault="00F337FE" w:rsidP="00F337FE">
      <w:pPr>
        <w:ind w:left="450"/>
        <w:rPr>
          <w:lang w:val="bg-BG"/>
        </w:rPr>
      </w:pPr>
      <w:r w:rsidRPr="00F337FE">
        <w:rPr>
          <w:b/>
          <w:bCs/>
          <w:lang w:val="bg-BG"/>
        </w:rPr>
        <w:t xml:space="preserve">в) </w:t>
      </w:r>
      <w:r w:rsidRPr="00F337FE">
        <w:rPr>
          <w:b/>
          <w:bCs/>
          <w:u w:val="single"/>
          <w:lang w:val="bg-BG"/>
        </w:rPr>
        <w:t xml:space="preserve">Пациенти с разгърната и прогресираща клинична картина въпреки лечението </w:t>
      </w:r>
      <w:r>
        <w:rPr>
          <w:b/>
          <w:bCs/>
          <w:u w:val="single"/>
          <w:lang w:val="bg-BG"/>
        </w:rPr>
        <w:t xml:space="preserve">с </w:t>
      </w:r>
      <w:r w:rsidRPr="00F337FE">
        <w:rPr>
          <w:b/>
          <w:bCs/>
          <w:u w:val="single"/>
        </w:rPr>
        <w:t>Remdesivir</w:t>
      </w:r>
      <w:r>
        <w:t>.</w:t>
      </w:r>
      <w:r>
        <w:rPr>
          <w:lang w:val="bg-BG"/>
        </w:rPr>
        <w:t xml:space="preserve">  </w:t>
      </w:r>
    </w:p>
    <w:p w14:paraId="74F143D9" w14:textId="5B6C6C5C" w:rsidR="0011637B" w:rsidRDefault="00436BAC" w:rsidP="0011637B">
      <w:pPr>
        <w:pStyle w:val="ListParagraph"/>
        <w:numPr>
          <w:ilvl w:val="0"/>
          <w:numId w:val="6"/>
        </w:numPr>
      </w:pPr>
      <w:r w:rsidRPr="0011637B">
        <w:rPr>
          <w:lang w:val="bg-BG"/>
        </w:rPr>
        <w:t xml:space="preserve">Превантивни неспецифични поддържащи грижи (Supportive care) </w:t>
      </w:r>
      <w:r w:rsidR="00A37648" w:rsidRPr="0011637B">
        <w:rPr>
          <w:lang w:val="bg-BG"/>
        </w:rPr>
        <w:t xml:space="preserve">в т.ч. кислород при нужда – </w:t>
      </w:r>
      <w:r w:rsidR="00A37648" w:rsidRPr="00B4251F">
        <w:rPr>
          <w:b/>
          <w:bCs/>
          <w:lang w:val="bg-BG"/>
        </w:rPr>
        <w:t>О2</w:t>
      </w:r>
      <w:r w:rsidR="00A37648" w:rsidRPr="0011637B">
        <w:rPr>
          <w:lang w:val="bg-BG"/>
        </w:rPr>
        <w:t xml:space="preserve"> на 5л/мин за поддържане на </w:t>
      </w:r>
      <w:r w:rsidR="00A37648">
        <w:t>SpO2&gt;90%.</w:t>
      </w:r>
    </w:p>
    <w:p w14:paraId="641C68F7" w14:textId="77777777" w:rsidR="0011637B" w:rsidRPr="0011637B" w:rsidRDefault="00A37648" w:rsidP="0011637B">
      <w:pPr>
        <w:pStyle w:val="ListParagraph"/>
        <w:numPr>
          <w:ilvl w:val="0"/>
          <w:numId w:val="6"/>
        </w:numPr>
      </w:pPr>
      <w:r w:rsidRPr="00B4251F">
        <w:rPr>
          <w:b/>
          <w:bCs/>
          <w:lang w:val="bg-BG"/>
        </w:rPr>
        <w:t>Вливания</w:t>
      </w:r>
      <w:r w:rsidRPr="0011637B">
        <w:rPr>
          <w:lang w:val="bg-BG"/>
        </w:rPr>
        <w:t xml:space="preserve"> – много внимателно</w:t>
      </w:r>
      <w:r w:rsidR="0011637B">
        <w:rPr>
          <w:lang w:val="bg-BG"/>
        </w:rPr>
        <w:t xml:space="preserve">, основно </w:t>
      </w:r>
      <w:r w:rsidRPr="0011637B">
        <w:rPr>
          <w:lang w:val="bg-BG"/>
        </w:rPr>
        <w:t xml:space="preserve">при признаци на дехидратация поради гастроинтестинална симптоматика или намален интейк на течности </w:t>
      </w:r>
      <w:r w:rsidR="0070360B" w:rsidRPr="0011637B">
        <w:rPr>
          <w:lang w:val="bg-BG"/>
        </w:rPr>
        <w:t>–</w:t>
      </w:r>
      <w:r w:rsidRPr="0011637B">
        <w:rPr>
          <w:lang w:val="bg-BG"/>
        </w:rPr>
        <w:t xml:space="preserve"> </w:t>
      </w:r>
      <w:r w:rsidR="0070360B" w:rsidRPr="0011637B">
        <w:rPr>
          <w:lang w:val="bg-BG"/>
        </w:rPr>
        <w:t>Рингер-лактат, Физиологичен серум. Вливанията трабва да се калкулират и мониторират много внимателно поради риск от алвеоларен излив и влошаване на газовия обмен</w:t>
      </w:r>
      <w:r w:rsidR="0011637B">
        <w:rPr>
          <w:lang w:val="bg-BG"/>
        </w:rPr>
        <w:t>.</w:t>
      </w:r>
    </w:p>
    <w:p w14:paraId="7FA15BAC" w14:textId="77777777" w:rsidR="0011637B" w:rsidRPr="0011637B" w:rsidRDefault="0070360B" w:rsidP="0011637B">
      <w:pPr>
        <w:pStyle w:val="ListParagraph"/>
        <w:numPr>
          <w:ilvl w:val="0"/>
          <w:numId w:val="6"/>
        </w:numPr>
      </w:pPr>
      <w:r w:rsidRPr="00B4251F">
        <w:rPr>
          <w:b/>
          <w:bCs/>
          <w:lang w:val="bg-BG"/>
        </w:rPr>
        <w:t>Антипиретици</w:t>
      </w:r>
      <w:r w:rsidRPr="0011637B">
        <w:rPr>
          <w:lang w:val="bg-BG"/>
        </w:rPr>
        <w:t xml:space="preserve"> при болка и температура, но при избягване на НСПВС (особено ибупрофен)</w:t>
      </w:r>
    </w:p>
    <w:p w14:paraId="2D54643C" w14:textId="77777777" w:rsidR="0011637B" w:rsidRPr="0011637B" w:rsidRDefault="0070360B" w:rsidP="0011637B">
      <w:pPr>
        <w:pStyle w:val="ListParagraph"/>
        <w:numPr>
          <w:ilvl w:val="0"/>
          <w:numId w:val="6"/>
        </w:numPr>
      </w:pPr>
      <w:r w:rsidRPr="00B4251F">
        <w:rPr>
          <w:b/>
          <w:bCs/>
          <w:lang w:val="bg-BG"/>
        </w:rPr>
        <w:t>Антибиотици</w:t>
      </w:r>
      <w:r w:rsidRPr="0011637B">
        <w:rPr>
          <w:lang w:val="bg-BG"/>
        </w:rPr>
        <w:t xml:space="preserve"> според нуждите при риск от сепсис или бактериална инфекция по емпирична и/или лабораторна преценка</w:t>
      </w:r>
      <w:r w:rsidRPr="00361CDD">
        <w:t>.</w:t>
      </w:r>
    </w:p>
    <w:p w14:paraId="05F26CEA" w14:textId="77777777" w:rsidR="0011637B" w:rsidRPr="0011637B" w:rsidRDefault="0070360B" w:rsidP="0011637B">
      <w:pPr>
        <w:pStyle w:val="ListParagraph"/>
        <w:numPr>
          <w:ilvl w:val="0"/>
          <w:numId w:val="6"/>
        </w:numPr>
      </w:pPr>
      <w:r w:rsidRPr="0011637B">
        <w:rPr>
          <w:lang w:val="bg-BG"/>
        </w:rPr>
        <w:lastRenderedPageBreak/>
        <w:t xml:space="preserve">Ако грип не е изрично изключен като придружаващо заболяване, може да се започнат </w:t>
      </w:r>
      <w:r w:rsidRPr="00B4251F">
        <w:rPr>
          <w:b/>
          <w:bCs/>
          <w:lang w:val="bg-BG"/>
        </w:rPr>
        <w:t>невроаминидазни</w:t>
      </w:r>
      <w:r w:rsidRPr="0011637B">
        <w:rPr>
          <w:lang w:val="bg-BG"/>
        </w:rPr>
        <w:t xml:space="preserve"> инхибитори – </w:t>
      </w:r>
      <w:r w:rsidRPr="00B90621">
        <w:rPr>
          <w:b/>
          <w:bCs/>
        </w:rPr>
        <w:t>Oseltamivir</w:t>
      </w:r>
      <w:r>
        <w:t xml:space="preserve">, </w:t>
      </w:r>
      <w:r w:rsidRPr="00B90621">
        <w:rPr>
          <w:b/>
          <w:bCs/>
        </w:rPr>
        <w:t>Zanamivir</w:t>
      </w:r>
      <w:r w:rsidRPr="0011637B">
        <w:rPr>
          <w:lang w:val="bg-BG"/>
        </w:rPr>
        <w:t>.</w:t>
      </w:r>
    </w:p>
    <w:p w14:paraId="2AEDFB9A" w14:textId="3D63ACFB" w:rsidR="00C8190C" w:rsidRPr="00C8190C" w:rsidRDefault="00F337FE" w:rsidP="0070360B">
      <w:pPr>
        <w:pStyle w:val="ListParagraph"/>
        <w:numPr>
          <w:ilvl w:val="0"/>
          <w:numId w:val="6"/>
        </w:numPr>
      </w:pPr>
      <w:r w:rsidRPr="00B4251F">
        <w:rPr>
          <w:b/>
          <w:bCs/>
          <w:lang w:val="bg-BG"/>
        </w:rPr>
        <w:t>С</w:t>
      </w:r>
      <w:r w:rsidR="00C8190C" w:rsidRPr="00B4251F">
        <w:rPr>
          <w:b/>
          <w:bCs/>
          <w:lang w:val="bg-BG"/>
        </w:rPr>
        <w:t>татинов</w:t>
      </w:r>
      <w:r w:rsidR="00C8190C">
        <w:rPr>
          <w:lang w:val="bg-BG"/>
        </w:rPr>
        <w:t xml:space="preserve"> препарат (</w:t>
      </w:r>
      <w:r w:rsidR="00C8190C" w:rsidRPr="00C8190C">
        <w:rPr>
          <w:b/>
          <w:bCs/>
        </w:rPr>
        <w:t>Crestor</w:t>
      </w:r>
      <w:r w:rsidR="00C8190C">
        <w:t xml:space="preserve"> x20mg)</w:t>
      </w:r>
      <w:r w:rsidR="00C8190C">
        <w:rPr>
          <w:lang w:val="bg-BG"/>
        </w:rPr>
        <w:t>.</w:t>
      </w:r>
    </w:p>
    <w:p w14:paraId="27037013" w14:textId="2CF10E2C" w:rsidR="00C8190C" w:rsidRPr="00C8190C" w:rsidRDefault="0070360B" w:rsidP="0070360B">
      <w:pPr>
        <w:pStyle w:val="ListParagraph"/>
        <w:numPr>
          <w:ilvl w:val="0"/>
          <w:numId w:val="6"/>
        </w:numPr>
      </w:pPr>
      <w:r w:rsidRPr="0011637B">
        <w:rPr>
          <w:b/>
          <w:bCs/>
          <w:lang w:val="bg-BG"/>
        </w:rPr>
        <w:t>Hydroxychloroquine</w:t>
      </w:r>
      <w:r w:rsidRPr="0011637B">
        <w:rPr>
          <w:lang w:val="bg-BG"/>
        </w:rPr>
        <w:t> </w:t>
      </w:r>
      <w:r w:rsidRPr="00B90621">
        <w:rPr>
          <w:b/>
          <w:bCs/>
          <w:lang w:val="bg-BG"/>
        </w:rPr>
        <w:t>400 mg х2 дневно в 1-вия ден</w:t>
      </w:r>
      <w:r w:rsidRPr="0011637B">
        <w:rPr>
          <w:lang w:val="bg-BG"/>
        </w:rPr>
        <w:t xml:space="preserve">,  последвано от </w:t>
      </w:r>
      <w:r w:rsidRPr="00B90621">
        <w:rPr>
          <w:b/>
          <w:bCs/>
          <w:lang w:val="bg-BG"/>
        </w:rPr>
        <w:t>200 mg  х2 дневно</w:t>
      </w:r>
      <w:r w:rsidRPr="0011637B">
        <w:rPr>
          <w:lang w:val="bg-BG"/>
        </w:rPr>
        <w:t xml:space="preserve"> в продължение на </w:t>
      </w:r>
      <w:r w:rsidR="0011637B" w:rsidRPr="00B90621">
        <w:rPr>
          <w:b/>
          <w:bCs/>
          <w:lang w:val="bg-BG"/>
        </w:rPr>
        <w:t>4</w:t>
      </w:r>
      <w:r w:rsidRPr="00B90621">
        <w:rPr>
          <w:b/>
          <w:bCs/>
          <w:lang w:val="bg-BG"/>
        </w:rPr>
        <w:t xml:space="preserve"> дни</w:t>
      </w:r>
      <w:r w:rsidRPr="0011637B">
        <w:rPr>
          <w:lang w:val="bg-BG"/>
        </w:rPr>
        <w:t xml:space="preserve"> в комбинация с </w:t>
      </w:r>
      <w:r w:rsidRPr="0011637B">
        <w:rPr>
          <w:b/>
          <w:bCs/>
          <w:lang w:val="bg-BG"/>
        </w:rPr>
        <w:t>Azithromycin</w:t>
      </w:r>
      <w:r w:rsidRPr="0011637B">
        <w:rPr>
          <w:lang w:val="bg-BG"/>
        </w:rPr>
        <w:t> </w:t>
      </w:r>
      <w:r w:rsidR="00361CDD">
        <w:rPr>
          <w:lang w:val="bg-BG"/>
        </w:rPr>
        <w:t>–</w:t>
      </w:r>
      <w:r w:rsidRPr="0011637B">
        <w:rPr>
          <w:lang w:val="bg-BG"/>
        </w:rPr>
        <w:t xml:space="preserve"> </w:t>
      </w:r>
      <w:r w:rsidRPr="00B90621">
        <w:rPr>
          <w:b/>
          <w:bCs/>
          <w:lang w:val="bg-BG"/>
        </w:rPr>
        <w:t>500 mg  х2 дневно за 5 дни</w:t>
      </w:r>
      <w:r w:rsidRPr="0011637B">
        <w:rPr>
          <w:lang w:val="bg-BG"/>
        </w:rPr>
        <w:t>.</w:t>
      </w:r>
      <w:r w:rsidR="00C8190C">
        <w:rPr>
          <w:lang w:val="bg-BG"/>
        </w:rPr>
        <w:t xml:space="preserve"> </w:t>
      </w:r>
      <w:r w:rsidRPr="00C8190C">
        <w:rPr>
          <w:lang w:val="bg-BG"/>
        </w:rPr>
        <w:t xml:space="preserve">Тъй като и двата препарата </w:t>
      </w:r>
      <w:r w:rsidRPr="00B90621">
        <w:rPr>
          <w:b/>
          <w:bCs/>
          <w:lang w:val="bg-BG"/>
        </w:rPr>
        <w:t>удължават QT – интервала</w:t>
      </w:r>
      <w:r w:rsidRPr="00C8190C">
        <w:rPr>
          <w:lang w:val="bg-BG"/>
        </w:rPr>
        <w:t xml:space="preserve">, тази комбинация трябва да се прилага с особено внимание.  </w:t>
      </w:r>
      <w:r w:rsidRPr="00B90621">
        <w:rPr>
          <w:b/>
          <w:bCs/>
          <w:lang w:val="bg-BG"/>
        </w:rPr>
        <w:t>Ежедневно</w:t>
      </w:r>
      <w:r w:rsidRPr="00C8190C">
        <w:rPr>
          <w:lang w:val="bg-BG"/>
        </w:rPr>
        <w:t xml:space="preserve"> трябва да се прави </w:t>
      </w:r>
      <w:r w:rsidRPr="00B90621">
        <w:rPr>
          <w:b/>
          <w:bCs/>
          <w:lang w:val="bg-BG"/>
        </w:rPr>
        <w:t>baseline ECG</w:t>
      </w:r>
      <w:r w:rsidRPr="00C8190C">
        <w:rPr>
          <w:lang w:val="bg-BG"/>
        </w:rPr>
        <w:t xml:space="preserve">. При пациенти с </w:t>
      </w:r>
      <w:r w:rsidRPr="00B90621">
        <w:rPr>
          <w:b/>
          <w:bCs/>
          <w:lang w:val="bg-BG"/>
        </w:rPr>
        <w:t>QT-интервал =/&gt; 500 msec</w:t>
      </w:r>
      <w:r w:rsidRPr="00C8190C">
        <w:rPr>
          <w:lang w:val="bg-BG"/>
        </w:rPr>
        <w:t xml:space="preserve"> би трябвало </w:t>
      </w:r>
      <w:r w:rsidRPr="00B90621">
        <w:rPr>
          <w:b/>
          <w:bCs/>
          <w:lang w:val="bg-BG"/>
        </w:rPr>
        <w:t>да се избягва комбинираната терапия с</w:t>
      </w:r>
      <w:r w:rsidRPr="00C8190C">
        <w:rPr>
          <w:lang w:val="bg-BG"/>
        </w:rPr>
        <w:t xml:space="preserve"> </w:t>
      </w:r>
      <w:r w:rsidR="00C8190C" w:rsidRPr="00B90621">
        <w:rPr>
          <w:b/>
          <w:bCs/>
          <w:lang w:val="bg-BG"/>
        </w:rPr>
        <w:t>А</w:t>
      </w:r>
      <w:r w:rsidRPr="00B90621">
        <w:rPr>
          <w:b/>
          <w:bCs/>
          <w:lang w:val="bg-BG"/>
        </w:rPr>
        <w:t xml:space="preserve">zithromycin и </w:t>
      </w:r>
      <w:r w:rsidR="00C8190C" w:rsidRPr="00B90621">
        <w:rPr>
          <w:b/>
          <w:bCs/>
          <w:lang w:val="bg-BG"/>
        </w:rPr>
        <w:t>Н</w:t>
      </w:r>
      <w:r w:rsidRPr="00B90621">
        <w:rPr>
          <w:b/>
          <w:bCs/>
          <w:lang w:val="bg-BG"/>
        </w:rPr>
        <w:t>ydroxychloroquine</w:t>
      </w:r>
      <w:r w:rsidR="00C8190C">
        <w:rPr>
          <w:lang w:val="bg-BG"/>
        </w:rPr>
        <w:t xml:space="preserve">, като в такъв случай </w:t>
      </w:r>
      <w:r w:rsidR="00C8190C" w:rsidRPr="00B90621">
        <w:rPr>
          <w:b/>
          <w:bCs/>
          <w:lang w:val="bg-BG"/>
        </w:rPr>
        <w:t>алтернативен</w:t>
      </w:r>
      <w:r w:rsidR="00C8190C">
        <w:rPr>
          <w:lang w:val="bg-BG"/>
        </w:rPr>
        <w:t xml:space="preserve"> </w:t>
      </w:r>
      <w:r w:rsidR="00C8190C" w:rsidRPr="00B90621">
        <w:rPr>
          <w:b/>
          <w:bCs/>
          <w:lang w:val="bg-BG"/>
        </w:rPr>
        <w:t>вариант</w:t>
      </w:r>
      <w:r w:rsidR="00C8190C">
        <w:rPr>
          <w:lang w:val="bg-BG"/>
        </w:rPr>
        <w:t xml:space="preserve"> е (вж. следващата точка):</w:t>
      </w:r>
    </w:p>
    <w:p w14:paraId="172FD546" w14:textId="77777777" w:rsidR="00C8190C" w:rsidRPr="00C8190C" w:rsidRDefault="0070360B" w:rsidP="0070360B">
      <w:pPr>
        <w:pStyle w:val="ListParagraph"/>
        <w:numPr>
          <w:ilvl w:val="0"/>
          <w:numId w:val="6"/>
        </w:numPr>
      </w:pPr>
      <w:r w:rsidRPr="00C8190C">
        <w:rPr>
          <w:b/>
          <w:bCs/>
          <w:lang w:val="bg-BG"/>
        </w:rPr>
        <w:t>Chloroquine phosphate</w:t>
      </w:r>
      <w:r w:rsidRPr="00C8190C">
        <w:rPr>
          <w:lang w:val="bg-BG"/>
        </w:rPr>
        <w:t xml:space="preserve"> (</w:t>
      </w:r>
      <w:r w:rsidRPr="00C8190C">
        <w:rPr>
          <w:b/>
          <w:bCs/>
          <w:lang w:val="bg-BG"/>
        </w:rPr>
        <w:t>Resochin</w:t>
      </w:r>
      <w:r w:rsidRPr="00C8190C">
        <w:rPr>
          <w:lang w:val="bg-BG"/>
        </w:rPr>
        <w:t>) </w:t>
      </w:r>
      <w:r w:rsidRPr="00B90621">
        <w:rPr>
          <w:b/>
          <w:bCs/>
          <w:lang w:val="bg-BG"/>
        </w:rPr>
        <w:t>500 mg х2 дневно за 5 дни</w:t>
      </w:r>
      <w:r w:rsidR="00C8190C">
        <w:rPr>
          <w:lang w:val="bg-BG"/>
        </w:rPr>
        <w:t xml:space="preserve">;  </w:t>
      </w:r>
      <w:r w:rsidRPr="00C8190C">
        <w:rPr>
          <w:lang w:val="bg-BG"/>
        </w:rPr>
        <w:t>или</w:t>
      </w:r>
    </w:p>
    <w:p w14:paraId="7C3E560D" w14:textId="77777777" w:rsidR="00C8190C" w:rsidRPr="00C8190C" w:rsidRDefault="0070360B" w:rsidP="0070360B">
      <w:pPr>
        <w:pStyle w:val="ListParagraph"/>
        <w:numPr>
          <w:ilvl w:val="0"/>
          <w:numId w:val="6"/>
        </w:numPr>
      </w:pPr>
      <w:r w:rsidRPr="00C8190C">
        <w:rPr>
          <w:b/>
          <w:bCs/>
          <w:lang w:val="bg-BG"/>
        </w:rPr>
        <w:t>Lopinavir/ Ritonavir</w:t>
      </w:r>
      <w:r w:rsidRPr="00C8190C">
        <w:rPr>
          <w:lang w:val="bg-BG"/>
        </w:rPr>
        <w:t xml:space="preserve"> (</w:t>
      </w:r>
      <w:r w:rsidRPr="00C8190C">
        <w:rPr>
          <w:b/>
          <w:bCs/>
          <w:lang w:val="bg-BG"/>
        </w:rPr>
        <w:t>Kaletra</w:t>
      </w:r>
      <w:r w:rsidRPr="00C8190C">
        <w:rPr>
          <w:lang w:val="bg-BG"/>
        </w:rPr>
        <w:t xml:space="preserve">) </w:t>
      </w:r>
      <w:r w:rsidRPr="00B90621">
        <w:rPr>
          <w:b/>
          <w:bCs/>
          <w:lang w:val="bg-BG"/>
        </w:rPr>
        <w:t>400/100 mg х2 дневно за 10 дни</w:t>
      </w:r>
      <w:r w:rsidRPr="00C8190C">
        <w:rPr>
          <w:lang w:val="bg-BG"/>
        </w:rPr>
        <w:t>.  Този HIV-1 протокол трябва да се избягва ако пациентът е потенциален кандидат за клинично проучване с Ремдесивир.</w:t>
      </w:r>
    </w:p>
    <w:p w14:paraId="2A2508B0" w14:textId="7EB9CFC5" w:rsidR="00C8190C" w:rsidRPr="00C8190C" w:rsidRDefault="0070360B" w:rsidP="0070360B">
      <w:pPr>
        <w:pStyle w:val="ListParagraph"/>
        <w:numPr>
          <w:ilvl w:val="0"/>
          <w:numId w:val="6"/>
        </w:numPr>
      </w:pPr>
      <w:r w:rsidRPr="00B4251F">
        <w:rPr>
          <w:b/>
          <w:bCs/>
          <w:lang w:val="bg-BG"/>
        </w:rPr>
        <w:t>Мониторинг</w:t>
      </w:r>
      <w:r w:rsidRPr="00C8190C">
        <w:rPr>
          <w:lang w:val="bg-BG"/>
        </w:rPr>
        <w:t xml:space="preserve"> за лекарствени взаимодействия </w:t>
      </w:r>
      <w:r w:rsidR="00361CDD">
        <w:rPr>
          <w:lang w:val="bg-BG"/>
        </w:rPr>
        <w:t>–</w:t>
      </w:r>
      <w:r w:rsidR="00C8190C">
        <w:rPr>
          <w:lang w:val="bg-BG"/>
        </w:rPr>
        <w:t xml:space="preserve"> </w:t>
      </w:r>
      <w:r w:rsidRPr="00C8190C">
        <w:rPr>
          <w:lang w:val="bg-BG"/>
        </w:rPr>
        <w:t>специално внимание при едновременно при</w:t>
      </w:r>
      <w:r w:rsidR="00080425">
        <w:rPr>
          <w:lang w:val="bg-BG"/>
        </w:rPr>
        <w:t>л</w:t>
      </w:r>
      <w:r w:rsidRPr="00C8190C">
        <w:rPr>
          <w:lang w:val="bg-BG"/>
        </w:rPr>
        <w:t xml:space="preserve">ожение на </w:t>
      </w:r>
      <w:r w:rsidRPr="00B90621">
        <w:rPr>
          <w:b/>
          <w:bCs/>
          <w:lang w:val="bg-BG"/>
        </w:rPr>
        <w:t>имуносупресори</w:t>
      </w:r>
      <w:r w:rsidRPr="00C8190C">
        <w:rPr>
          <w:lang w:val="bg-BG"/>
        </w:rPr>
        <w:t xml:space="preserve"> </w:t>
      </w:r>
      <w:r w:rsidR="00361CDD">
        <w:rPr>
          <w:lang w:val="bg-BG"/>
        </w:rPr>
        <w:t>–</w:t>
      </w:r>
      <w:r w:rsidRPr="00C8190C">
        <w:rPr>
          <w:lang w:val="bg-BG"/>
        </w:rPr>
        <w:t xml:space="preserve"> calcineurin inhibitors (Циклоспорин, Такролим) и периодични чернодробни функционални изследвания.</w:t>
      </w:r>
    </w:p>
    <w:p w14:paraId="51D10082" w14:textId="77777777" w:rsidR="00C8190C" w:rsidRPr="00C8190C" w:rsidRDefault="0070360B" w:rsidP="0070360B">
      <w:pPr>
        <w:pStyle w:val="ListParagraph"/>
        <w:numPr>
          <w:ilvl w:val="0"/>
          <w:numId w:val="6"/>
        </w:numPr>
      </w:pPr>
      <w:r w:rsidRPr="00C8190C">
        <w:rPr>
          <w:lang w:val="bg-BG"/>
        </w:rPr>
        <w:t xml:space="preserve">Лечението трябва да бъде </w:t>
      </w:r>
      <w:r w:rsidRPr="00B4251F">
        <w:rPr>
          <w:b/>
          <w:bCs/>
          <w:lang w:val="bg-BG"/>
        </w:rPr>
        <w:t>прекратено при изписването</w:t>
      </w:r>
      <w:r w:rsidRPr="00C8190C">
        <w:rPr>
          <w:lang w:val="bg-BG"/>
        </w:rPr>
        <w:t xml:space="preserve"> на пациента независимо от продължителността на приложението на съответния протокол</w:t>
      </w:r>
      <w:r w:rsidR="00C8190C">
        <w:rPr>
          <w:lang w:val="bg-BG"/>
        </w:rPr>
        <w:t xml:space="preserve">;  </w:t>
      </w:r>
      <w:r w:rsidRPr="00C8190C">
        <w:rPr>
          <w:lang w:val="bg-BG"/>
        </w:rPr>
        <w:t xml:space="preserve">или </w:t>
      </w:r>
    </w:p>
    <w:p w14:paraId="7C4B149F" w14:textId="716BAB52" w:rsidR="00A37648" w:rsidRPr="00D068A3" w:rsidRDefault="0070360B" w:rsidP="00F337FE">
      <w:pPr>
        <w:pStyle w:val="ListParagraph"/>
        <w:numPr>
          <w:ilvl w:val="0"/>
          <w:numId w:val="6"/>
        </w:numPr>
      </w:pPr>
      <w:r w:rsidRPr="00C8190C">
        <w:rPr>
          <w:lang w:val="bg-BG"/>
        </w:rPr>
        <w:t xml:space="preserve">Ако </w:t>
      </w:r>
      <w:r w:rsidRPr="00C8190C">
        <w:rPr>
          <w:b/>
          <w:bCs/>
          <w:lang w:val="bg-BG"/>
        </w:rPr>
        <w:t>Kaletra</w:t>
      </w:r>
      <w:r w:rsidRPr="00C8190C">
        <w:rPr>
          <w:lang w:val="bg-BG"/>
        </w:rPr>
        <w:t xml:space="preserve"> не може да бъде осигурена, може да се обсъди приложението на </w:t>
      </w:r>
      <w:r w:rsidRPr="00C8190C">
        <w:rPr>
          <w:b/>
          <w:bCs/>
          <w:lang w:val="bg-BG"/>
        </w:rPr>
        <w:t>Darunavir/cobicistat</w:t>
      </w:r>
      <w:r w:rsidRPr="00C8190C">
        <w:rPr>
          <w:lang w:val="bg-BG"/>
        </w:rPr>
        <w:t xml:space="preserve"> (</w:t>
      </w:r>
      <w:r w:rsidRPr="00C8190C">
        <w:rPr>
          <w:b/>
          <w:bCs/>
          <w:lang w:val="bg-BG"/>
        </w:rPr>
        <w:t>DRV/c</w:t>
      </w:r>
      <w:r w:rsidRPr="00C8190C">
        <w:rPr>
          <w:lang w:val="bg-BG"/>
        </w:rPr>
        <w:t xml:space="preserve"> или </w:t>
      </w:r>
      <w:r w:rsidRPr="00C8190C">
        <w:rPr>
          <w:b/>
          <w:bCs/>
          <w:lang w:val="bg-BG"/>
        </w:rPr>
        <w:t>Prezcobix</w:t>
      </w:r>
      <w:r w:rsidRPr="00C8190C">
        <w:rPr>
          <w:lang w:val="bg-BG"/>
        </w:rPr>
        <w:t xml:space="preserve">) </w:t>
      </w:r>
      <w:r w:rsidRPr="00B90621">
        <w:rPr>
          <w:b/>
          <w:bCs/>
          <w:lang w:val="bg-BG"/>
        </w:rPr>
        <w:t>800/150 mg дневно</w:t>
      </w:r>
      <w:r w:rsidRPr="00C8190C">
        <w:rPr>
          <w:lang w:val="bg-BG"/>
        </w:rPr>
        <w:t>.</w:t>
      </w:r>
    </w:p>
    <w:p w14:paraId="4A984B78" w14:textId="77777777" w:rsidR="00D068A3" w:rsidRPr="00F337FE" w:rsidRDefault="00D068A3" w:rsidP="00D068A3">
      <w:pPr>
        <w:pStyle w:val="ListParagraph"/>
        <w:ind w:left="900"/>
      </w:pPr>
    </w:p>
    <w:p w14:paraId="3E66CB57" w14:textId="12C905CA" w:rsidR="00B4251F" w:rsidRDefault="00CA7128" w:rsidP="00D068A3">
      <w:pPr>
        <w:pStyle w:val="ListParagraph"/>
        <w:numPr>
          <w:ilvl w:val="0"/>
          <w:numId w:val="8"/>
        </w:numPr>
        <w:ind w:left="360"/>
        <w:rPr>
          <w:b/>
          <w:bCs/>
          <w:lang w:val="bg-BG"/>
        </w:rPr>
      </w:pPr>
      <w:r w:rsidRPr="00B4251F">
        <w:rPr>
          <w:b/>
          <w:bCs/>
          <w:lang w:val="bg-BG"/>
        </w:rPr>
        <w:t xml:space="preserve">Група за </w:t>
      </w:r>
      <w:r w:rsidR="00436BAC" w:rsidRPr="00B4251F">
        <w:rPr>
          <w:b/>
          <w:bCs/>
          <w:lang w:val="bg-BG"/>
        </w:rPr>
        <w:t>интензивно лечение</w:t>
      </w:r>
      <w:r w:rsidR="00B4251F" w:rsidRPr="00B4251F">
        <w:rPr>
          <w:b/>
          <w:bCs/>
          <w:lang w:val="bg-BG"/>
        </w:rPr>
        <w:t xml:space="preserve"> – протокол.</w:t>
      </w:r>
    </w:p>
    <w:p w14:paraId="44EFC91C" w14:textId="3E030FE3" w:rsidR="002E749B" w:rsidRDefault="002E749B" w:rsidP="002E749B">
      <w:pPr>
        <w:pStyle w:val="ListParagraph"/>
        <w:ind w:left="360"/>
        <w:rPr>
          <w:b/>
          <w:bCs/>
          <w:lang w:val="bg-BG"/>
        </w:rPr>
      </w:pPr>
    </w:p>
    <w:p w14:paraId="168553B4" w14:textId="3F134B87" w:rsidR="002E749B" w:rsidRDefault="00E31362" w:rsidP="002E749B">
      <w:pPr>
        <w:pStyle w:val="ListParagraph"/>
        <w:ind w:left="360"/>
        <w:rPr>
          <w:b/>
          <w:bCs/>
          <w:lang w:val="bg-BG"/>
        </w:rPr>
      </w:pPr>
      <w:r>
        <w:rPr>
          <w:b/>
          <w:bCs/>
          <w:lang w:val="bg-BG"/>
        </w:rPr>
        <w:t>а</w:t>
      </w:r>
      <w:r w:rsidR="002E749B">
        <w:rPr>
          <w:b/>
          <w:bCs/>
          <w:lang w:val="bg-BG"/>
        </w:rPr>
        <w:t xml:space="preserve">) </w:t>
      </w:r>
      <w:r w:rsidR="002E749B" w:rsidRPr="002E749B">
        <w:rPr>
          <w:b/>
          <w:bCs/>
          <w:u w:val="single"/>
          <w:lang w:val="bg-BG"/>
        </w:rPr>
        <w:t>Пациенти на интензивна терапия – но не на командно дишане</w:t>
      </w:r>
      <w:r w:rsidR="002E749B">
        <w:rPr>
          <w:b/>
          <w:bCs/>
          <w:lang w:val="bg-BG"/>
        </w:rPr>
        <w:t>.</w:t>
      </w:r>
    </w:p>
    <w:p w14:paraId="00286942" w14:textId="295AB290" w:rsidR="00D068A3" w:rsidRDefault="00D068A3" w:rsidP="00D068A3">
      <w:pPr>
        <w:pStyle w:val="ListParagraph"/>
        <w:ind w:left="360"/>
        <w:rPr>
          <w:b/>
          <w:bCs/>
          <w:lang w:val="bg-BG"/>
        </w:rPr>
      </w:pPr>
    </w:p>
    <w:p w14:paraId="4E545DBF" w14:textId="77777777" w:rsidR="00D068A3" w:rsidRPr="00D068A3" w:rsidRDefault="00D068A3" w:rsidP="00D068A3">
      <w:pPr>
        <w:pStyle w:val="ListParagraph"/>
        <w:numPr>
          <w:ilvl w:val="0"/>
          <w:numId w:val="9"/>
        </w:numPr>
        <w:ind w:left="720"/>
        <w:rPr>
          <w:b/>
          <w:bCs/>
          <w:lang w:val="bg-BG"/>
        </w:rPr>
      </w:pPr>
      <w:r>
        <w:rPr>
          <w:lang w:val="bg-BG"/>
        </w:rPr>
        <w:t xml:space="preserve">Започва се </w:t>
      </w:r>
      <w:r w:rsidRPr="00D068A3">
        <w:rPr>
          <w:b/>
          <w:bCs/>
          <w:lang w:val="bg-BG"/>
        </w:rPr>
        <w:t>статинов</w:t>
      </w:r>
      <w:r>
        <w:rPr>
          <w:lang w:val="bg-BG"/>
        </w:rPr>
        <w:t xml:space="preserve"> препарат при липса на противопоказания.</w:t>
      </w:r>
    </w:p>
    <w:p w14:paraId="71A9F74A" w14:textId="6C22FF29" w:rsidR="00D068A3" w:rsidRPr="00D068A3" w:rsidRDefault="00D068A3" w:rsidP="00D068A3">
      <w:pPr>
        <w:pStyle w:val="ListParagraph"/>
        <w:numPr>
          <w:ilvl w:val="0"/>
          <w:numId w:val="9"/>
        </w:numPr>
        <w:ind w:left="720"/>
        <w:rPr>
          <w:b/>
          <w:bCs/>
          <w:lang w:val="bg-BG"/>
        </w:rPr>
      </w:pPr>
      <w:r w:rsidRPr="00D068A3">
        <w:rPr>
          <w:b/>
          <w:bCs/>
          <w:lang w:val="bg-BG"/>
        </w:rPr>
        <w:t>Hydroxychloroquine</w:t>
      </w:r>
      <w:r w:rsidRPr="00D068A3">
        <w:rPr>
          <w:lang w:val="bg-BG"/>
        </w:rPr>
        <w:t xml:space="preserve"> </w:t>
      </w:r>
      <w:r w:rsidRPr="00B90621">
        <w:rPr>
          <w:b/>
          <w:bCs/>
          <w:lang w:val="bg-BG"/>
        </w:rPr>
        <w:t>400 mg х2 дневно в 1-вия ден</w:t>
      </w:r>
      <w:r w:rsidRPr="00D068A3">
        <w:rPr>
          <w:lang w:val="bg-BG"/>
        </w:rPr>
        <w:t xml:space="preserve">,  последвано от </w:t>
      </w:r>
      <w:r w:rsidRPr="00B90621">
        <w:rPr>
          <w:b/>
          <w:bCs/>
          <w:lang w:val="bg-BG"/>
        </w:rPr>
        <w:t>200 mg  х2 дневно</w:t>
      </w:r>
      <w:r w:rsidRPr="00D068A3">
        <w:rPr>
          <w:lang w:val="bg-BG"/>
        </w:rPr>
        <w:t xml:space="preserve"> в продължение на </w:t>
      </w:r>
      <w:r w:rsidRPr="00B90621">
        <w:rPr>
          <w:b/>
          <w:bCs/>
          <w:lang w:val="bg-BG"/>
        </w:rPr>
        <w:t xml:space="preserve">4 дни в комбинация с Azithromycin </w:t>
      </w:r>
      <w:r w:rsidR="00361CDD">
        <w:rPr>
          <w:b/>
          <w:bCs/>
          <w:lang w:val="bg-BG"/>
        </w:rPr>
        <w:t>–</w:t>
      </w:r>
      <w:r w:rsidRPr="00B90621">
        <w:rPr>
          <w:b/>
          <w:bCs/>
          <w:lang w:val="bg-BG"/>
        </w:rPr>
        <w:t xml:space="preserve"> 500 mg  х2 дневно за 5 дни</w:t>
      </w:r>
      <w:r w:rsidRPr="00D068A3">
        <w:rPr>
          <w:lang w:val="bg-BG"/>
        </w:rPr>
        <w:t xml:space="preserve">. Тъй като и двата препарата </w:t>
      </w:r>
      <w:r w:rsidRPr="00B90621">
        <w:rPr>
          <w:b/>
          <w:bCs/>
          <w:lang w:val="bg-BG"/>
        </w:rPr>
        <w:t>удължават</w:t>
      </w:r>
      <w:r w:rsidRPr="00D068A3">
        <w:rPr>
          <w:lang w:val="bg-BG"/>
        </w:rPr>
        <w:t xml:space="preserve"> </w:t>
      </w:r>
      <w:r w:rsidRPr="00B90621">
        <w:rPr>
          <w:b/>
          <w:bCs/>
          <w:lang w:val="bg-BG"/>
        </w:rPr>
        <w:t>QT – интервала</w:t>
      </w:r>
      <w:r w:rsidRPr="00D068A3">
        <w:rPr>
          <w:lang w:val="bg-BG"/>
        </w:rPr>
        <w:t>, тази комбинация трябва да се прилага с особено внимание.  Ежедневно трябва да се прави baseline ECG. При пациенти с QT-интервал =/&gt; 500 msec би трябвало да се избягва комбинираната терапия с Аzithromycin и Нydroxychloroquine, като в такъв случай алтернативен вариант е (вж. следващата точка):</w:t>
      </w:r>
    </w:p>
    <w:p w14:paraId="3F3DF4B9" w14:textId="77777777" w:rsidR="00D068A3" w:rsidRPr="00D068A3" w:rsidRDefault="00D068A3" w:rsidP="00D068A3">
      <w:pPr>
        <w:pStyle w:val="ListParagraph"/>
        <w:numPr>
          <w:ilvl w:val="0"/>
          <w:numId w:val="9"/>
        </w:numPr>
        <w:ind w:left="720"/>
        <w:rPr>
          <w:b/>
          <w:bCs/>
          <w:lang w:val="bg-BG"/>
        </w:rPr>
      </w:pPr>
      <w:r w:rsidRPr="00D068A3">
        <w:rPr>
          <w:b/>
          <w:bCs/>
          <w:lang w:val="bg-BG"/>
        </w:rPr>
        <w:t>Chloroquine phosphate</w:t>
      </w:r>
      <w:r w:rsidRPr="00D068A3">
        <w:rPr>
          <w:lang w:val="bg-BG"/>
        </w:rPr>
        <w:t xml:space="preserve"> (</w:t>
      </w:r>
      <w:r w:rsidRPr="00D068A3">
        <w:rPr>
          <w:b/>
          <w:bCs/>
          <w:lang w:val="bg-BG"/>
        </w:rPr>
        <w:t>Resochin</w:t>
      </w:r>
      <w:r w:rsidRPr="00D068A3">
        <w:rPr>
          <w:lang w:val="bg-BG"/>
        </w:rPr>
        <w:t xml:space="preserve">) </w:t>
      </w:r>
      <w:r w:rsidRPr="00B90621">
        <w:rPr>
          <w:b/>
          <w:bCs/>
          <w:lang w:val="bg-BG"/>
        </w:rPr>
        <w:t>500</w:t>
      </w:r>
      <w:r w:rsidRPr="00D068A3">
        <w:rPr>
          <w:lang w:val="bg-BG"/>
        </w:rPr>
        <w:t xml:space="preserve"> </w:t>
      </w:r>
      <w:r w:rsidRPr="00B90621">
        <w:rPr>
          <w:b/>
          <w:bCs/>
          <w:lang w:val="bg-BG"/>
        </w:rPr>
        <w:t>mg х2 дневно за 5 дни</w:t>
      </w:r>
      <w:r w:rsidRPr="00D068A3">
        <w:rPr>
          <w:lang w:val="bg-BG"/>
        </w:rPr>
        <w:t>;  или</w:t>
      </w:r>
    </w:p>
    <w:p w14:paraId="408EE3BC" w14:textId="77777777" w:rsidR="00D068A3" w:rsidRPr="00D068A3" w:rsidRDefault="00D068A3" w:rsidP="00D068A3">
      <w:pPr>
        <w:pStyle w:val="ListParagraph"/>
        <w:numPr>
          <w:ilvl w:val="0"/>
          <w:numId w:val="9"/>
        </w:numPr>
        <w:ind w:left="720"/>
        <w:rPr>
          <w:b/>
          <w:bCs/>
          <w:lang w:val="bg-BG"/>
        </w:rPr>
      </w:pPr>
      <w:r w:rsidRPr="00D068A3">
        <w:rPr>
          <w:b/>
          <w:bCs/>
          <w:lang w:val="bg-BG"/>
        </w:rPr>
        <w:t>Lopinavir/ Ritonavir</w:t>
      </w:r>
      <w:r w:rsidRPr="00D068A3">
        <w:rPr>
          <w:lang w:val="bg-BG"/>
        </w:rPr>
        <w:t xml:space="preserve"> (</w:t>
      </w:r>
      <w:r w:rsidRPr="00D068A3">
        <w:rPr>
          <w:b/>
          <w:bCs/>
          <w:lang w:val="bg-BG"/>
        </w:rPr>
        <w:t>Kaletra</w:t>
      </w:r>
      <w:r w:rsidRPr="00D068A3">
        <w:rPr>
          <w:lang w:val="bg-BG"/>
        </w:rPr>
        <w:t xml:space="preserve">) </w:t>
      </w:r>
      <w:r w:rsidRPr="00B90621">
        <w:rPr>
          <w:b/>
          <w:bCs/>
          <w:lang w:val="bg-BG"/>
        </w:rPr>
        <w:t>400/100 mg х2 дневно за 10 дни</w:t>
      </w:r>
      <w:r w:rsidRPr="00D068A3">
        <w:rPr>
          <w:lang w:val="bg-BG"/>
        </w:rPr>
        <w:t>.  Този HIV-1 протокол трябва да се избягва ако пациентът е потенциален кандидат за клинично проучване с Ремдесивир.</w:t>
      </w:r>
    </w:p>
    <w:p w14:paraId="10E7A0D3" w14:textId="121060B8" w:rsidR="00D068A3" w:rsidRPr="00D068A3" w:rsidRDefault="00D068A3" w:rsidP="00D068A3">
      <w:pPr>
        <w:pStyle w:val="ListParagraph"/>
        <w:numPr>
          <w:ilvl w:val="0"/>
          <w:numId w:val="9"/>
        </w:numPr>
        <w:ind w:left="720"/>
        <w:rPr>
          <w:b/>
          <w:bCs/>
          <w:lang w:val="bg-BG"/>
        </w:rPr>
      </w:pPr>
      <w:r w:rsidRPr="00D068A3">
        <w:rPr>
          <w:b/>
          <w:bCs/>
          <w:lang w:val="bg-BG"/>
        </w:rPr>
        <w:t>Мониторинг</w:t>
      </w:r>
      <w:r w:rsidRPr="00D068A3">
        <w:rPr>
          <w:lang w:val="bg-BG"/>
        </w:rPr>
        <w:t xml:space="preserve"> за лекарствени взаимодействия </w:t>
      </w:r>
      <w:r w:rsidR="00361CDD">
        <w:rPr>
          <w:lang w:val="bg-BG"/>
        </w:rPr>
        <w:t>–</w:t>
      </w:r>
      <w:r w:rsidRPr="00D068A3">
        <w:rPr>
          <w:lang w:val="bg-BG"/>
        </w:rPr>
        <w:t xml:space="preserve"> специално внимание при едновременно приожение на имуносупресори </w:t>
      </w:r>
      <w:r w:rsidR="00361CDD">
        <w:rPr>
          <w:lang w:val="bg-BG"/>
        </w:rPr>
        <w:t>–</w:t>
      </w:r>
      <w:r w:rsidRPr="00D068A3">
        <w:rPr>
          <w:lang w:val="bg-BG"/>
        </w:rPr>
        <w:t xml:space="preserve"> calcineurin inhibitors (Циклоспорин, Такролим) и периодични чернодробни функционални изследвания</w:t>
      </w:r>
      <w:r>
        <w:rPr>
          <w:lang w:val="bg-BG"/>
        </w:rPr>
        <w:t xml:space="preserve">; </w:t>
      </w:r>
      <w:r w:rsidRPr="00D068A3">
        <w:rPr>
          <w:lang w:val="bg-BG"/>
        </w:rPr>
        <w:t xml:space="preserve">или </w:t>
      </w:r>
    </w:p>
    <w:p w14:paraId="1F83BD81" w14:textId="04DD7CB5" w:rsidR="00CA7128" w:rsidRPr="00D068A3" w:rsidRDefault="00D068A3" w:rsidP="00D068A3">
      <w:pPr>
        <w:pStyle w:val="ListParagraph"/>
        <w:numPr>
          <w:ilvl w:val="0"/>
          <w:numId w:val="9"/>
        </w:numPr>
        <w:ind w:left="720"/>
        <w:rPr>
          <w:b/>
          <w:bCs/>
          <w:lang w:val="bg-BG"/>
        </w:rPr>
      </w:pPr>
      <w:r w:rsidRPr="00D068A3">
        <w:rPr>
          <w:lang w:val="bg-BG"/>
        </w:rPr>
        <w:t xml:space="preserve">Ако </w:t>
      </w:r>
      <w:r w:rsidRPr="00D068A3">
        <w:rPr>
          <w:b/>
          <w:bCs/>
          <w:lang w:val="bg-BG"/>
        </w:rPr>
        <w:t>Kaletra</w:t>
      </w:r>
      <w:r w:rsidRPr="00D068A3">
        <w:rPr>
          <w:lang w:val="bg-BG"/>
        </w:rPr>
        <w:t xml:space="preserve"> не може да бъде осигурена, може да се обсъди приложението на </w:t>
      </w:r>
      <w:r w:rsidRPr="00D068A3">
        <w:rPr>
          <w:b/>
          <w:bCs/>
          <w:lang w:val="bg-BG"/>
        </w:rPr>
        <w:t>Darunavir/cobicistat</w:t>
      </w:r>
      <w:r w:rsidRPr="00D068A3">
        <w:rPr>
          <w:lang w:val="bg-BG"/>
        </w:rPr>
        <w:t xml:space="preserve"> (</w:t>
      </w:r>
      <w:r w:rsidRPr="00D068A3">
        <w:rPr>
          <w:b/>
          <w:bCs/>
          <w:lang w:val="bg-BG"/>
        </w:rPr>
        <w:t>DRV/c</w:t>
      </w:r>
      <w:r w:rsidRPr="00D068A3">
        <w:rPr>
          <w:lang w:val="bg-BG"/>
        </w:rPr>
        <w:t xml:space="preserve"> или </w:t>
      </w:r>
      <w:r w:rsidRPr="00D068A3">
        <w:rPr>
          <w:b/>
          <w:bCs/>
          <w:lang w:val="bg-BG"/>
        </w:rPr>
        <w:t>Prezcobix</w:t>
      </w:r>
      <w:r w:rsidRPr="00D068A3">
        <w:rPr>
          <w:lang w:val="bg-BG"/>
        </w:rPr>
        <w:t xml:space="preserve">) </w:t>
      </w:r>
      <w:r w:rsidRPr="00B90621">
        <w:rPr>
          <w:b/>
          <w:bCs/>
          <w:lang w:val="bg-BG"/>
        </w:rPr>
        <w:t>800/150 mg дневно</w:t>
      </w:r>
      <w:r w:rsidRPr="00D068A3">
        <w:rPr>
          <w:lang w:val="bg-BG"/>
        </w:rPr>
        <w:t>.</w:t>
      </w:r>
    </w:p>
    <w:p w14:paraId="4005DD48" w14:textId="0D4F2D6F" w:rsidR="00D068A3" w:rsidRPr="00D068A3" w:rsidRDefault="00D068A3" w:rsidP="00D068A3">
      <w:pPr>
        <w:pStyle w:val="ListParagraph"/>
        <w:numPr>
          <w:ilvl w:val="0"/>
          <w:numId w:val="9"/>
        </w:numPr>
        <w:ind w:left="720"/>
        <w:rPr>
          <w:b/>
          <w:bCs/>
          <w:lang w:val="bg-BG"/>
        </w:rPr>
      </w:pPr>
      <w:r>
        <w:rPr>
          <w:lang w:val="bg-BG"/>
        </w:rPr>
        <w:t xml:space="preserve">Може да се приложат </w:t>
      </w:r>
      <w:r w:rsidRPr="00D068A3">
        <w:rPr>
          <w:b/>
          <w:bCs/>
        </w:rPr>
        <w:t>4-</w:t>
      </w:r>
      <w:r w:rsidRPr="00D068A3">
        <w:rPr>
          <w:b/>
          <w:bCs/>
          <w:lang w:val="bg-BG"/>
        </w:rPr>
        <w:t>Тиоксипиримидинови</w:t>
      </w:r>
      <w:r>
        <w:rPr>
          <w:lang w:val="bg-BG"/>
        </w:rPr>
        <w:t xml:space="preserve"> производни като </w:t>
      </w:r>
      <w:r w:rsidRPr="00D068A3">
        <w:rPr>
          <w:b/>
          <w:bCs/>
        </w:rPr>
        <w:t>RDV-8</w:t>
      </w:r>
      <w:r>
        <w:t xml:space="preserve"> </w:t>
      </w:r>
      <w:r>
        <w:rPr>
          <w:lang w:val="bg-BG"/>
        </w:rPr>
        <w:t>с противовъзпалителен и имуномодулиращ ефект.</w:t>
      </w:r>
      <w:r>
        <w:t xml:space="preserve"> </w:t>
      </w:r>
    </w:p>
    <w:p w14:paraId="318EB2FF" w14:textId="2797A303" w:rsidR="00D068A3" w:rsidRPr="002E6973" w:rsidRDefault="002E6973" w:rsidP="00D068A3">
      <w:pPr>
        <w:pStyle w:val="ListParagraph"/>
        <w:numPr>
          <w:ilvl w:val="0"/>
          <w:numId w:val="9"/>
        </w:numPr>
        <w:ind w:left="720"/>
        <w:rPr>
          <w:b/>
          <w:bCs/>
          <w:lang w:val="bg-BG"/>
        </w:rPr>
      </w:pPr>
      <w:r>
        <w:rPr>
          <w:lang w:val="bg-BG"/>
        </w:rPr>
        <w:lastRenderedPageBreak/>
        <w:t>В случай на прогресиране на клиниката</w:t>
      </w:r>
      <w:r>
        <w:t xml:space="preserve">, </w:t>
      </w:r>
      <w:r w:rsidRPr="00B90621">
        <w:rPr>
          <w:b/>
          <w:bCs/>
          <w:lang w:val="bg-BG"/>
        </w:rPr>
        <w:t>при рефракторни</w:t>
      </w:r>
      <w:r>
        <w:rPr>
          <w:lang w:val="bg-BG"/>
        </w:rPr>
        <w:t xml:space="preserve"> пациенти или неприложимост на </w:t>
      </w:r>
      <w:r w:rsidRPr="002E6973">
        <w:rPr>
          <w:b/>
          <w:bCs/>
          <w:lang w:val="bg-BG"/>
        </w:rPr>
        <w:t>RDV-8</w:t>
      </w:r>
      <w:r>
        <w:rPr>
          <w:lang w:val="bg-BG"/>
        </w:rPr>
        <w:t xml:space="preserve">, може да се приложи бета-интерферонова терапия с </w:t>
      </w:r>
      <w:r w:rsidRPr="002E6973">
        <w:rPr>
          <w:b/>
          <w:bCs/>
        </w:rPr>
        <w:t>Interferon-beta</w:t>
      </w:r>
      <w:r>
        <w:rPr>
          <w:b/>
          <w:bCs/>
          <w:lang w:val="bg-BG"/>
        </w:rPr>
        <w:t xml:space="preserve"> В1 </w:t>
      </w:r>
      <w:r>
        <w:rPr>
          <w:b/>
          <w:bCs/>
        </w:rPr>
        <w:t xml:space="preserve">(Betaseron) </w:t>
      </w:r>
      <w:r>
        <w:rPr>
          <w:lang w:val="bg-BG"/>
        </w:rPr>
        <w:t xml:space="preserve">в комбинация с </w:t>
      </w:r>
      <w:r w:rsidRPr="002E6973">
        <w:rPr>
          <w:b/>
          <w:bCs/>
        </w:rPr>
        <w:t>H</w:t>
      </w:r>
      <w:r w:rsidRPr="002E6973">
        <w:rPr>
          <w:b/>
          <w:bCs/>
          <w:lang w:val="bg-BG"/>
        </w:rPr>
        <w:t xml:space="preserve">ydroxychloroquine </w:t>
      </w:r>
      <w:r w:rsidRPr="002E6973">
        <w:rPr>
          <w:lang w:val="bg-BG"/>
        </w:rPr>
        <w:t xml:space="preserve">или </w:t>
      </w:r>
      <w:r w:rsidRPr="002E6973">
        <w:rPr>
          <w:b/>
          <w:bCs/>
          <w:lang w:val="bg-BG"/>
        </w:rPr>
        <w:t>Kaletra</w:t>
      </w:r>
      <w:r w:rsidRPr="002E6973">
        <w:rPr>
          <w:lang w:val="bg-BG"/>
        </w:rPr>
        <w:t xml:space="preserve"> (</w:t>
      </w:r>
      <w:r w:rsidRPr="002E6973">
        <w:rPr>
          <w:b/>
          <w:bCs/>
          <w:lang w:val="bg-BG"/>
        </w:rPr>
        <w:t>Lopinavir/ ritonavir</w:t>
      </w:r>
      <w:r w:rsidRPr="002E6973">
        <w:rPr>
          <w:lang w:val="bg-BG"/>
        </w:rPr>
        <w:t>).</w:t>
      </w:r>
      <w:r>
        <w:rPr>
          <w:lang w:val="bg-BG"/>
        </w:rPr>
        <w:t xml:space="preserve"> </w:t>
      </w:r>
    </w:p>
    <w:p w14:paraId="7B7DF145" w14:textId="77777777" w:rsidR="002E6973" w:rsidRPr="002E6973" w:rsidRDefault="002E6973" w:rsidP="002E6973">
      <w:pPr>
        <w:pStyle w:val="ListParagraph"/>
        <w:numPr>
          <w:ilvl w:val="0"/>
          <w:numId w:val="9"/>
        </w:numPr>
        <w:ind w:left="720"/>
        <w:rPr>
          <w:b/>
          <w:bCs/>
          <w:lang w:val="bg-BG"/>
        </w:rPr>
      </w:pPr>
      <w:r>
        <w:rPr>
          <w:lang w:val="bg-BG"/>
        </w:rPr>
        <w:t xml:space="preserve">При кардио-ренален синдром, може да се включи </w:t>
      </w:r>
      <w:r w:rsidRPr="002E6973">
        <w:rPr>
          <w:b/>
          <w:bCs/>
        </w:rPr>
        <w:t>Tocilizumab</w:t>
      </w:r>
      <w:r>
        <w:rPr>
          <w:lang w:val="bg-BG"/>
        </w:rPr>
        <w:t xml:space="preserve">, като </w:t>
      </w:r>
      <w:r w:rsidRPr="00B90621">
        <w:rPr>
          <w:u w:val="single"/>
          <w:lang w:val="bg-BG"/>
        </w:rPr>
        <w:t>преди това</w:t>
      </w:r>
      <w:r>
        <w:rPr>
          <w:lang w:val="bg-BG"/>
        </w:rPr>
        <w:t xml:space="preserve"> се пусне лабораторно изследване за </w:t>
      </w:r>
      <w:r w:rsidRPr="002E6973">
        <w:rPr>
          <w:b/>
          <w:bCs/>
        </w:rPr>
        <w:t>IL-6</w:t>
      </w:r>
      <w:r>
        <w:t>.</w:t>
      </w:r>
    </w:p>
    <w:p w14:paraId="6D0C2A9A" w14:textId="66111219" w:rsidR="002E6973" w:rsidRPr="002E749B" w:rsidRDefault="002E6973" w:rsidP="002E749B">
      <w:pPr>
        <w:pStyle w:val="ListParagraph"/>
        <w:numPr>
          <w:ilvl w:val="0"/>
          <w:numId w:val="9"/>
        </w:numPr>
        <w:ind w:left="720"/>
        <w:rPr>
          <w:b/>
          <w:bCs/>
          <w:lang w:val="bg-BG"/>
        </w:rPr>
      </w:pPr>
      <w:r>
        <w:rPr>
          <w:lang w:val="bg-BG"/>
        </w:rPr>
        <w:t xml:space="preserve">При развитие на </w:t>
      </w:r>
      <w:r w:rsidRPr="00B90621">
        <w:rPr>
          <w:b/>
          <w:bCs/>
          <w:lang w:val="bg-BG"/>
        </w:rPr>
        <w:t>цитокинова буря</w:t>
      </w:r>
      <w:r>
        <w:rPr>
          <w:lang w:val="bg-BG"/>
        </w:rPr>
        <w:t xml:space="preserve"> (</w:t>
      </w:r>
      <w:r w:rsidRPr="00B90621">
        <w:rPr>
          <w:b/>
          <w:bCs/>
          <w:lang w:val="bg-BG"/>
        </w:rPr>
        <w:t>Cytokine Storm</w:t>
      </w:r>
      <w:r>
        <w:rPr>
          <w:lang w:val="bg-BG"/>
        </w:rPr>
        <w:t>)</w:t>
      </w:r>
      <w:r w:rsidRPr="002E6973">
        <w:rPr>
          <w:lang w:val="bg-BG"/>
        </w:rPr>
        <w:t>:</w:t>
      </w:r>
      <w:r>
        <w:rPr>
          <w:lang w:val="bg-BG"/>
        </w:rPr>
        <w:t xml:space="preserve"> се н</w:t>
      </w:r>
      <w:r w:rsidRPr="002E6973">
        <w:rPr>
          <w:lang w:val="bg-BG"/>
        </w:rPr>
        <w:t>азнач</w:t>
      </w:r>
      <w:r>
        <w:rPr>
          <w:lang w:val="bg-BG"/>
        </w:rPr>
        <w:t>ава</w:t>
      </w:r>
      <w:r w:rsidRPr="002E6973">
        <w:rPr>
          <w:lang w:val="bg-BG"/>
        </w:rPr>
        <w:t xml:space="preserve"> </w:t>
      </w:r>
      <w:r w:rsidRPr="00B90621">
        <w:rPr>
          <w:b/>
          <w:bCs/>
          <w:lang w:val="bg-BG"/>
        </w:rPr>
        <w:t>изследване на нива на IL-6</w:t>
      </w:r>
      <w:r w:rsidRPr="002E6973">
        <w:rPr>
          <w:lang w:val="bg-BG"/>
        </w:rPr>
        <w:t xml:space="preserve"> и </w:t>
      </w:r>
      <w:r>
        <w:rPr>
          <w:lang w:val="bg-BG"/>
        </w:rPr>
        <w:t xml:space="preserve">се стартира </w:t>
      </w:r>
      <w:r w:rsidRPr="002E6973">
        <w:rPr>
          <w:b/>
          <w:bCs/>
          <w:lang w:val="bg-BG"/>
        </w:rPr>
        <w:t>Tocilizumab</w:t>
      </w:r>
      <w:r w:rsidRPr="002E6973">
        <w:rPr>
          <w:lang w:val="bg-BG"/>
        </w:rPr>
        <w:t xml:space="preserve"> (</w:t>
      </w:r>
      <w:r w:rsidRPr="002E6973">
        <w:rPr>
          <w:b/>
          <w:bCs/>
          <w:lang w:val="bg-BG"/>
        </w:rPr>
        <w:t>Actemra</w:t>
      </w:r>
      <w:r w:rsidRPr="002E6973">
        <w:rPr>
          <w:lang w:val="bg-BG"/>
        </w:rPr>
        <w:t>) – човешки моноклонални антитела срещу свързващия капацитет на Interleukin 6 към неговите рецептори, като по този начин се притъпява възпалителния отговор.</w:t>
      </w:r>
      <w:r w:rsidR="002E749B">
        <w:rPr>
          <w:lang w:val="bg-BG"/>
        </w:rPr>
        <w:t xml:space="preserve"> </w:t>
      </w:r>
      <w:r w:rsidRPr="002E749B">
        <w:rPr>
          <w:lang w:val="bg-BG"/>
        </w:rPr>
        <w:t>Цитокиновата буря се изразява в свръхреактивност на имунната система срещу SARS-CoV-2 с резултат остро структурно и функционално увреждане на белия дроб, остър респираторен дистрес синдром (ARDS), рефракторна хипотензия и полиорганна недостатъчност</w:t>
      </w:r>
      <w:r w:rsidR="002E749B">
        <w:rPr>
          <w:lang w:val="bg-BG"/>
        </w:rPr>
        <w:t>.</w:t>
      </w:r>
    </w:p>
    <w:p w14:paraId="37F02505" w14:textId="79B37F58" w:rsidR="002E749B" w:rsidRDefault="002E749B" w:rsidP="002E749B">
      <w:pPr>
        <w:pStyle w:val="ListParagraph"/>
        <w:rPr>
          <w:b/>
          <w:bCs/>
          <w:lang w:val="bg-BG"/>
        </w:rPr>
      </w:pPr>
    </w:p>
    <w:p w14:paraId="762950FF" w14:textId="1A8461B2" w:rsidR="002E749B" w:rsidRDefault="00E31362" w:rsidP="002E749B">
      <w:pPr>
        <w:ind w:left="360"/>
        <w:rPr>
          <w:b/>
          <w:bCs/>
          <w:lang w:val="bg-BG"/>
        </w:rPr>
      </w:pPr>
      <w:r>
        <w:rPr>
          <w:b/>
          <w:bCs/>
          <w:lang w:val="bg-BG"/>
        </w:rPr>
        <w:t>б</w:t>
      </w:r>
      <w:r w:rsidR="002E749B">
        <w:rPr>
          <w:b/>
          <w:bCs/>
          <w:lang w:val="bg-BG"/>
        </w:rPr>
        <w:t xml:space="preserve">) </w:t>
      </w:r>
      <w:r w:rsidR="002E749B" w:rsidRPr="002E749B">
        <w:rPr>
          <w:b/>
          <w:bCs/>
          <w:u w:val="single"/>
          <w:lang w:val="bg-BG"/>
        </w:rPr>
        <w:t>Пациенти на интензивно лечение чрез командно дишане</w:t>
      </w:r>
      <w:r w:rsidR="002E749B">
        <w:rPr>
          <w:b/>
          <w:bCs/>
          <w:lang w:val="bg-BG"/>
        </w:rPr>
        <w:t>.</w:t>
      </w:r>
    </w:p>
    <w:p w14:paraId="12DEBCE5" w14:textId="1D35A71D" w:rsidR="002E749B" w:rsidRDefault="002E749B" w:rsidP="002E749B">
      <w:pPr>
        <w:pStyle w:val="ListParagraph"/>
        <w:ind w:left="900"/>
        <w:rPr>
          <w:b/>
          <w:bCs/>
          <w:lang w:val="bg-BG"/>
        </w:rPr>
      </w:pPr>
      <w:r w:rsidRPr="00B90621">
        <w:rPr>
          <w:b/>
          <w:bCs/>
          <w:u w:val="single"/>
          <w:lang w:val="bg-BG"/>
        </w:rPr>
        <w:t>ВНИМАНИЕ</w:t>
      </w:r>
      <w:r>
        <w:rPr>
          <w:b/>
          <w:bCs/>
          <w:lang w:val="bg-BG"/>
        </w:rPr>
        <w:t>: ПОРАДИ РИСК ОТ АЕРОЗОЛИЗАЦИЯ (освен при приложение на изолиращ тент или скафандър с отрицателно налягане на пациента)  НЕ СЕ ПРЕПОРЪЧВАТ СЛЕДНИТЕ МЕТОДИ:</w:t>
      </w:r>
    </w:p>
    <w:p w14:paraId="0C898CDB" w14:textId="13ED54E6" w:rsidR="002E749B" w:rsidRDefault="002E749B" w:rsidP="002E749B">
      <w:pPr>
        <w:pStyle w:val="ListParagraph"/>
        <w:numPr>
          <w:ilvl w:val="0"/>
          <w:numId w:val="10"/>
        </w:numPr>
        <w:ind w:left="900"/>
        <w:rPr>
          <w:b/>
          <w:bCs/>
          <w:lang w:val="bg-BG"/>
        </w:rPr>
      </w:pPr>
      <w:r w:rsidRPr="002E749B">
        <w:rPr>
          <w:b/>
          <w:bCs/>
          <w:lang w:val="bg-BG"/>
        </w:rPr>
        <w:t xml:space="preserve">Не се препоръчва назална канюла </w:t>
      </w:r>
    </w:p>
    <w:p w14:paraId="0E34DE76" w14:textId="77777777" w:rsidR="002E749B" w:rsidRDefault="002E749B" w:rsidP="002E749B">
      <w:pPr>
        <w:pStyle w:val="ListParagraph"/>
        <w:numPr>
          <w:ilvl w:val="0"/>
          <w:numId w:val="10"/>
        </w:numPr>
        <w:ind w:left="900"/>
        <w:rPr>
          <w:b/>
          <w:bCs/>
          <w:lang w:val="bg-BG"/>
        </w:rPr>
      </w:pPr>
      <w:r w:rsidRPr="002E749B">
        <w:rPr>
          <w:b/>
          <w:bCs/>
          <w:lang w:val="bg-BG"/>
        </w:rPr>
        <w:t>Не се препоръчва неинвазивна вентилация с позитивно налягане (NIPPV – non-invasive positive pressure ventilation)</w:t>
      </w:r>
    </w:p>
    <w:p w14:paraId="1D7010BC" w14:textId="239E058C" w:rsidR="002E749B" w:rsidRPr="002E749B" w:rsidRDefault="002E749B" w:rsidP="002E749B">
      <w:pPr>
        <w:pStyle w:val="ListParagraph"/>
        <w:numPr>
          <w:ilvl w:val="0"/>
          <w:numId w:val="10"/>
        </w:numPr>
        <w:ind w:left="900"/>
        <w:rPr>
          <w:b/>
          <w:bCs/>
          <w:lang w:val="bg-BG"/>
        </w:rPr>
      </w:pPr>
      <w:r w:rsidRPr="002E749B">
        <w:rPr>
          <w:b/>
          <w:bCs/>
          <w:lang w:val="bg-BG"/>
        </w:rPr>
        <w:t xml:space="preserve">Интубация – </w:t>
      </w:r>
      <w:r>
        <w:rPr>
          <w:b/>
          <w:bCs/>
          <w:lang w:val="bg-BG"/>
        </w:rPr>
        <w:t xml:space="preserve">при </w:t>
      </w:r>
      <w:r w:rsidRPr="002E749B">
        <w:rPr>
          <w:b/>
          <w:bCs/>
          <w:lang w:val="bg-BG"/>
        </w:rPr>
        <w:t>AC Volume Control – трябва ръчно да се следят и коригират показателите</w:t>
      </w:r>
      <w:r>
        <w:rPr>
          <w:b/>
          <w:bCs/>
          <w:lang w:val="bg-BG"/>
        </w:rPr>
        <w:t xml:space="preserve">; при </w:t>
      </w:r>
      <w:r w:rsidRPr="002E749B">
        <w:rPr>
          <w:b/>
          <w:bCs/>
          <w:lang w:val="bg-BG"/>
        </w:rPr>
        <w:t xml:space="preserve">Automatic Pressure Control </w:t>
      </w:r>
      <w:r>
        <w:rPr>
          <w:b/>
          <w:bCs/>
          <w:lang w:val="bg-BG"/>
        </w:rPr>
        <w:t xml:space="preserve">-  </w:t>
      </w:r>
      <w:r w:rsidRPr="002E749B">
        <w:rPr>
          <w:b/>
          <w:bCs/>
          <w:lang w:val="bg-BG"/>
        </w:rPr>
        <w:t>да се следи синхронизацията</w:t>
      </w:r>
      <w:r>
        <w:rPr>
          <w:b/>
          <w:bCs/>
          <w:lang w:val="bg-BG"/>
        </w:rPr>
        <w:t>.</w:t>
      </w:r>
    </w:p>
    <w:p w14:paraId="6F3EBAC9" w14:textId="235B1DD7" w:rsidR="002E749B" w:rsidRPr="002E749B" w:rsidRDefault="002E749B" w:rsidP="002E749B">
      <w:pPr>
        <w:rPr>
          <w:b/>
          <w:bCs/>
          <w:lang w:val="bg-BG"/>
        </w:rPr>
      </w:pPr>
      <w:r w:rsidRPr="002E749B">
        <w:rPr>
          <w:b/>
          <w:bCs/>
          <w:lang w:val="bg-BG"/>
        </w:rPr>
        <w:t xml:space="preserve">      </w:t>
      </w:r>
      <w:r w:rsidRPr="002E749B">
        <w:rPr>
          <w:b/>
          <w:bCs/>
          <w:lang w:val="bg-BG"/>
        </w:rPr>
        <w:tab/>
        <w:t>a) Bilevel</w:t>
      </w:r>
      <w:r>
        <w:rPr>
          <w:b/>
          <w:bCs/>
          <w:lang w:val="bg-BG"/>
        </w:rPr>
        <w:t xml:space="preserve"> </w:t>
      </w:r>
      <w:r w:rsidR="00361CDD">
        <w:rPr>
          <w:b/>
          <w:bCs/>
          <w:lang w:val="bg-BG"/>
        </w:rPr>
        <w:t>–</w:t>
      </w:r>
      <w:r>
        <w:rPr>
          <w:b/>
          <w:bCs/>
          <w:lang w:val="bg-BG"/>
        </w:rPr>
        <w:t xml:space="preserve"> </w:t>
      </w:r>
      <w:r w:rsidRPr="002E749B">
        <w:rPr>
          <w:b/>
          <w:bCs/>
          <w:lang w:val="bg-BG"/>
        </w:rPr>
        <w:t>синхронизацията не е проблем защото дава възможност за спонтанно дишане с допълнителна асистенция с налягане от апарата</w:t>
      </w:r>
      <w:r>
        <w:rPr>
          <w:b/>
          <w:bCs/>
          <w:lang w:val="bg-BG"/>
        </w:rPr>
        <w:t>.</w:t>
      </w:r>
      <w:r w:rsidRPr="002E749B">
        <w:rPr>
          <w:b/>
          <w:bCs/>
          <w:lang w:val="bg-BG"/>
        </w:rPr>
        <w:t xml:space="preserve"> </w:t>
      </w:r>
    </w:p>
    <w:p w14:paraId="7C9E2E6A" w14:textId="51D00CB4" w:rsidR="002E749B" w:rsidRDefault="002E749B" w:rsidP="002E749B">
      <w:pPr>
        <w:rPr>
          <w:b/>
          <w:bCs/>
          <w:lang w:val="bg-BG"/>
        </w:rPr>
      </w:pPr>
      <w:r w:rsidRPr="002E749B">
        <w:rPr>
          <w:b/>
          <w:bCs/>
          <w:lang w:val="bg-BG"/>
        </w:rPr>
        <w:tab/>
        <w:t>b) APRV</w:t>
      </w:r>
      <w:r>
        <w:rPr>
          <w:b/>
          <w:bCs/>
          <w:lang w:val="bg-BG"/>
        </w:rPr>
        <w:t xml:space="preserve"> </w:t>
      </w:r>
      <w:r w:rsidR="00361CDD">
        <w:rPr>
          <w:b/>
          <w:bCs/>
          <w:lang w:val="bg-BG"/>
        </w:rPr>
        <w:t>–</w:t>
      </w:r>
      <w:r>
        <w:rPr>
          <w:b/>
          <w:bCs/>
          <w:lang w:val="bg-BG"/>
        </w:rPr>
        <w:t xml:space="preserve"> </w:t>
      </w:r>
      <w:r w:rsidRPr="002E749B">
        <w:rPr>
          <w:b/>
          <w:bCs/>
          <w:lang w:val="bg-BG"/>
        </w:rPr>
        <w:t>възможност за спонтанно дишане „over the ventilator” но без асистенция с налягане на PEEP.</w:t>
      </w:r>
    </w:p>
    <w:p w14:paraId="550CA815" w14:textId="77777777" w:rsidR="002748AF" w:rsidRPr="002748AF" w:rsidRDefault="002748AF" w:rsidP="002E749B">
      <w:pPr>
        <w:pStyle w:val="ListParagraph"/>
        <w:numPr>
          <w:ilvl w:val="0"/>
          <w:numId w:val="11"/>
        </w:numPr>
        <w:ind w:left="990"/>
        <w:rPr>
          <w:b/>
          <w:bCs/>
          <w:lang w:val="bg-BG"/>
        </w:rPr>
      </w:pPr>
      <w:r w:rsidRPr="002748AF">
        <w:rPr>
          <w:b/>
          <w:bCs/>
          <w:lang w:val="bg-BG"/>
        </w:rPr>
        <w:t>Протективна вентилация</w:t>
      </w:r>
      <w:r>
        <w:rPr>
          <w:lang w:val="bg-BG"/>
        </w:rPr>
        <w:t xml:space="preserve"> </w:t>
      </w:r>
      <w:r w:rsidRPr="00FE52B3">
        <w:rPr>
          <w:b/>
          <w:bCs/>
          <w:lang w:val="bg-BG"/>
        </w:rPr>
        <w:t>с</w:t>
      </w:r>
      <w:r>
        <w:rPr>
          <w:lang w:val="bg-BG"/>
        </w:rPr>
        <w:t xml:space="preserve"> </w:t>
      </w:r>
      <w:r w:rsidRPr="00B90621">
        <w:rPr>
          <w:b/>
          <w:bCs/>
          <w:lang w:val="bg-BG"/>
        </w:rPr>
        <w:t>особено внимание към</w:t>
      </w:r>
      <w:r w:rsidR="002E749B" w:rsidRPr="00B90621">
        <w:rPr>
          <w:b/>
          <w:bCs/>
          <w:lang w:val="bg-BG"/>
        </w:rPr>
        <w:t xml:space="preserve"> налягането</w:t>
      </w:r>
      <w:r w:rsidR="002E749B">
        <w:rPr>
          <w:lang w:val="bg-BG"/>
        </w:rPr>
        <w:t xml:space="preserve"> </w:t>
      </w:r>
      <w:r>
        <w:rPr>
          <w:lang w:val="bg-BG"/>
        </w:rPr>
        <w:t xml:space="preserve">за </w:t>
      </w:r>
      <w:r w:rsidRPr="00B90621">
        <w:rPr>
          <w:b/>
          <w:bCs/>
          <w:lang w:val="bg-BG"/>
        </w:rPr>
        <w:t>избягване на барично</w:t>
      </w:r>
      <w:r>
        <w:rPr>
          <w:lang w:val="bg-BG"/>
        </w:rPr>
        <w:t xml:space="preserve"> </w:t>
      </w:r>
      <w:r w:rsidRPr="00B90621">
        <w:rPr>
          <w:b/>
          <w:bCs/>
          <w:lang w:val="bg-BG"/>
        </w:rPr>
        <w:t>увреждане на белия дроб</w:t>
      </w:r>
      <w:r>
        <w:rPr>
          <w:lang w:val="bg-BG"/>
        </w:rPr>
        <w:t xml:space="preserve"> поради </w:t>
      </w:r>
      <w:r w:rsidR="002E749B">
        <w:rPr>
          <w:lang w:val="bg-BG"/>
        </w:rPr>
        <w:t>ф</w:t>
      </w:r>
      <w:r w:rsidR="002E749B" w:rsidRPr="002E749B">
        <w:rPr>
          <w:lang w:val="bg-BG"/>
        </w:rPr>
        <w:t>еномен</w:t>
      </w:r>
      <w:r>
        <w:rPr>
          <w:lang w:val="bg-BG"/>
        </w:rPr>
        <w:t>а</w:t>
      </w:r>
      <w:r w:rsidR="002E749B" w:rsidRPr="002E749B">
        <w:rPr>
          <w:lang w:val="bg-BG"/>
        </w:rPr>
        <w:t xml:space="preserve"> на </w:t>
      </w:r>
      <w:r>
        <w:rPr>
          <w:lang w:val="bg-BG"/>
        </w:rPr>
        <w:t xml:space="preserve">компресионното </w:t>
      </w:r>
      <w:r w:rsidR="002E749B" w:rsidRPr="002E749B">
        <w:rPr>
          <w:lang w:val="bg-BG"/>
        </w:rPr>
        <w:t xml:space="preserve">открадване </w:t>
      </w:r>
      <w:r>
        <w:rPr>
          <w:lang w:val="bg-BG"/>
        </w:rPr>
        <w:t>–</w:t>
      </w:r>
      <w:r w:rsidR="002E749B" w:rsidRPr="002E749B">
        <w:rPr>
          <w:lang w:val="bg-BG"/>
        </w:rPr>
        <w:t xml:space="preserve"> </w:t>
      </w:r>
      <w:r>
        <w:rPr>
          <w:lang w:val="bg-BG"/>
        </w:rPr>
        <w:t xml:space="preserve">пренасочване и концентрация на баричното въздействие върху функционалните (здравите) алвеоли поради </w:t>
      </w:r>
      <w:r w:rsidR="002E749B" w:rsidRPr="002E749B">
        <w:rPr>
          <w:lang w:val="bg-BG"/>
        </w:rPr>
        <w:t xml:space="preserve">изключване на </w:t>
      </w:r>
      <w:r>
        <w:rPr>
          <w:lang w:val="bg-BG"/>
        </w:rPr>
        <w:t>ателектатичните консолидирани участъци на белия дроб с последващо</w:t>
      </w:r>
      <w:r w:rsidR="002E749B" w:rsidRPr="002E749B">
        <w:rPr>
          <w:lang w:val="bg-BG"/>
        </w:rPr>
        <w:t xml:space="preserve"> увреждане на здравите алвеоли. Поради това:</w:t>
      </w:r>
    </w:p>
    <w:p w14:paraId="5272981C" w14:textId="4017E6D1" w:rsidR="002748AF" w:rsidRPr="002748AF" w:rsidRDefault="002E749B" w:rsidP="002E749B">
      <w:pPr>
        <w:pStyle w:val="ListParagraph"/>
        <w:numPr>
          <w:ilvl w:val="0"/>
          <w:numId w:val="11"/>
        </w:numPr>
        <w:ind w:left="990"/>
        <w:rPr>
          <w:b/>
          <w:bCs/>
          <w:lang w:val="bg-BG"/>
        </w:rPr>
      </w:pPr>
      <w:r w:rsidRPr="002748AF">
        <w:rPr>
          <w:b/>
          <w:bCs/>
          <w:lang w:val="bg-BG"/>
        </w:rPr>
        <w:t xml:space="preserve">Нисък </w:t>
      </w:r>
      <w:r w:rsidR="00C721AD">
        <w:rPr>
          <w:b/>
          <w:bCs/>
          <w:lang w:val="bg-BG"/>
        </w:rPr>
        <w:t xml:space="preserve">дихателен обем - </w:t>
      </w:r>
      <w:r w:rsidRPr="002748AF">
        <w:rPr>
          <w:b/>
          <w:bCs/>
          <w:lang w:val="bg-BG"/>
        </w:rPr>
        <w:t>TV</w:t>
      </w:r>
      <w:r w:rsidRPr="002748AF">
        <w:rPr>
          <w:lang w:val="bg-BG"/>
        </w:rPr>
        <w:t xml:space="preserve"> (Tidal Volume) </w:t>
      </w:r>
      <w:r w:rsidRPr="002748AF">
        <w:rPr>
          <w:b/>
          <w:bCs/>
          <w:lang w:val="bg-BG"/>
        </w:rPr>
        <w:t>4-6 ml/kg</w:t>
      </w:r>
      <w:r w:rsidRPr="002748AF">
        <w:rPr>
          <w:lang w:val="bg-BG"/>
        </w:rPr>
        <w:t>,</w:t>
      </w:r>
      <w:r w:rsidR="002748AF">
        <w:rPr>
          <w:lang w:val="bg-BG"/>
        </w:rPr>
        <w:t xml:space="preserve"> в условията на </w:t>
      </w:r>
      <w:r w:rsidR="002748AF" w:rsidRPr="002C66D4">
        <w:rPr>
          <w:b/>
          <w:bCs/>
          <w:lang w:val="bg-BG"/>
        </w:rPr>
        <w:t>пермисивна хиперкапния</w:t>
      </w:r>
      <w:r w:rsidR="002748AF">
        <w:rPr>
          <w:lang w:val="bg-BG"/>
        </w:rPr>
        <w:t xml:space="preserve"> и </w:t>
      </w:r>
      <w:r w:rsidR="002748AF" w:rsidRPr="00B90621">
        <w:rPr>
          <w:b/>
          <w:bCs/>
          <w:lang w:val="bg-BG"/>
        </w:rPr>
        <w:t>контрол над респираторната ацидоза</w:t>
      </w:r>
      <w:r w:rsidR="002748AF">
        <w:rPr>
          <w:lang w:val="bg-BG"/>
        </w:rPr>
        <w:t xml:space="preserve"> чрез:</w:t>
      </w:r>
    </w:p>
    <w:p w14:paraId="654D06CF" w14:textId="77777777" w:rsidR="002C66D4" w:rsidRDefault="002E749B" w:rsidP="002E749B">
      <w:pPr>
        <w:pStyle w:val="ListParagraph"/>
        <w:numPr>
          <w:ilvl w:val="0"/>
          <w:numId w:val="11"/>
        </w:numPr>
        <w:ind w:left="990"/>
        <w:rPr>
          <w:b/>
          <w:bCs/>
          <w:lang w:val="bg-BG"/>
        </w:rPr>
      </w:pPr>
      <w:r w:rsidRPr="00B90621">
        <w:rPr>
          <w:b/>
          <w:bCs/>
          <w:lang w:val="bg-BG"/>
        </w:rPr>
        <w:t>Повишаване на респираторната честота</w:t>
      </w:r>
      <w:r w:rsidRPr="002748AF">
        <w:rPr>
          <w:lang w:val="bg-BG"/>
        </w:rPr>
        <w:t xml:space="preserve"> </w:t>
      </w:r>
      <w:r w:rsidRPr="002C66D4">
        <w:rPr>
          <w:b/>
          <w:bCs/>
          <w:lang w:val="bg-BG"/>
        </w:rPr>
        <w:t>RR&gt;20/ min</w:t>
      </w:r>
      <w:r w:rsidRPr="002748AF">
        <w:rPr>
          <w:lang w:val="bg-BG"/>
        </w:rPr>
        <w:t>, за</w:t>
      </w:r>
      <w:r w:rsidR="002C66D4">
        <w:rPr>
          <w:lang w:val="bg-BG"/>
        </w:rPr>
        <w:t xml:space="preserve"> поддържане на </w:t>
      </w:r>
      <w:r w:rsidRPr="002C66D4">
        <w:rPr>
          <w:b/>
          <w:bCs/>
          <w:lang w:val="bg-BG"/>
        </w:rPr>
        <w:t xml:space="preserve">&lt;PaCO2 </w:t>
      </w:r>
      <w:r w:rsidRPr="002748AF">
        <w:rPr>
          <w:lang w:val="bg-BG"/>
        </w:rPr>
        <w:t xml:space="preserve">с цел </w:t>
      </w:r>
      <w:r w:rsidRPr="002C66D4">
        <w:rPr>
          <w:b/>
          <w:bCs/>
          <w:lang w:val="bg-BG"/>
        </w:rPr>
        <w:t>pH&gt;7.25</w:t>
      </w:r>
    </w:p>
    <w:p w14:paraId="3F18282C" w14:textId="4DC71BFA" w:rsidR="002E749B" w:rsidRDefault="002C66D4" w:rsidP="002C66D4">
      <w:pPr>
        <w:pStyle w:val="ListParagraph"/>
        <w:numPr>
          <w:ilvl w:val="0"/>
          <w:numId w:val="11"/>
        </w:numPr>
        <w:ind w:left="990"/>
        <w:rPr>
          <w:b/>
          <w:bCs/>
          <w:lang w:val="bg-BG"/>
        </w:rPr>
      </w:pPr>
      <w:r>
        <w:rPr>
          <w:b/>
          <w:bCs/>
          <w:lang w:val="bg-BG"/>
        </w:rPr>
        <w:t xml:space="preserve">Изключително внимание при поддържане на повишено РЕЕР с цел разгъване на </w:t>
      </w:r>
      <w:r w:rsidR="002E749B" w:rsidRPr="002C66D4">
        <w:rPr>
          <w:lang w:val="bg-BG"/>
        </w:rPr>
        <w:t xml:space="preserve"> колабиралите алвеоли: </w:t>
      </w:r>
      <w:r w:rsidR="002E749B" w:rsidRPr="002C66D4">
        <w:rPr>
          <w:b/>
          <w:bCs/>
          <w:lang w:val="bg-BG"/>
        </w:rPr>
        <w:t>РЕЕР&gt;5 см/Н2О (8-16 cm/H2O)</w:t>
      </w:r>
      <w:r>
        <w:rPr>
          <w:b/>
          <w:bCs/>
          <w:lang w:val="bg-BG"/>
        </w:rPr>
        <w:t xml:space="preserve"> поради риска от барично увреждане на здравите сегменти на белия дроб. </w:t>
      </w:r>
      <w:r w:rsidRPr="00B90621">
        <w:rPr>
          <w:b/>
          <w:bCs/>
          <w:u w:val="single"/>
          <w:lang w:val="bg-BG"/>
        </w:rPr>
        <w:t>Новите препоръки</w:t>
      </w:r>
      <w:r w:rsidR="00B90621">
        <w:rPr>
          <w:b/>
          <w:bCs/>
          <w:u w:val="single"/>
          <w:lang w:val="bg-BG"/>
        </w:rPr>
        <w:t>, които макар още да са във фаза на обсъждане,</w:t>
      </w:r>
      <w:r>
        <w:rPr>
          <w:b/>
          <w:bCs/>
          <w:lang w:val="bg-BG"/>
        </w:rPr>
        <w:t xml:space="preserve"> са за консер</w:t>
      </w:r>
      <w:r w:rsidR="00080425">
        <w:rPr>
          <w:b/>
          <w:bCs/>
          <w:lang w:val="bg-BG"/>
        </w:rPr>
        <w:t>в</w:t>
      </w:r>
      <w:r>
        <w:rPr>
          <w:b/>
          <w:bCs/>
          <w:lang w:val="bg-BG"/>
        </w:rPr>
        <w:t>ативен подход спрямо поддържането на повишено РЕЕР. Ако се прецени че повишено РЕЕР е показано</w:t>
      </w:r>
      <w:r w:rsidR="004B1DB6">
        <w:rPr>
          <w:b/>
          <w:bCs/>
        </w:rPr>
        <w:t xml:space="preserve"> </w:t>
      </w:r>
      <w:r w:rsidR="004B1DB6">
        <w:rPr>
          <w:b/>
          <w:bCs/>
          <w:lang w:val="bg-BG"/>
        </w:rPr>
        <w:t>при наличен рекрутмънт потенциал</w:t>
      </w:r>
      <w:r>
        <w:rPr>
          <w:b/>
          <w:bCs/>
          <w:lang w:val="bg-BG"/>
        </w:rPr>
        <w:t xml:space="preserve">, да се цели </w:t>
      </w:r>
      <w:r w:rsidR="002E749B" w:rsidRPr="002C66D4">
        <w:rPr>
          <w:b/>
          <w:bCs/>
          <w:lang w:val="bg-BG"/>
        </w:rPr>
        <w:t>FiO2&lt;60% преди да се намали РЕЕР и увеличи ТV</w:t>
      </w:r>
      <w:r>
        <w:rPr>
          <w:b/>
          <w:bCs/>
          <w:lang w:val="bg-BG"/>
        </w:rPr>
        <w:t>.</w:t>
      </w:r>
    </w:p>
    <w:p w14:paraId="444F64D8" w14:textId="10D953C6" w:rsidR="00610FDB" w:rsidRDefault="002C66D4" w:rsidP="00610FDB">
      <w:pPr>
        <w:pStyle w:val="ListParagraph"/>
        <w:numPr>
          <w:ilvl w:val="0"/>
          <w:numId w:val="11"/>
        </w:numPr>
        <w:ind w:left="990"/>
        <w:rPr>
          <w:b/>
          <w:bCs/>
          <w:lang w:val="bg-BG"/>
        </w:rPr>
      </w:pPr>
      <w:r>
        <w:rPr>
          <w:lang w:val="bg-BG"/>
        </w:rPr>
        <w:lastRenderedPageBreak/>
        <w:t xml:space="preserve">В случай на </w:t>
      </w:r>
      <w:r w:rsidRPr="00B90621">
        <w:rPr>
          <w:b/>
          <w:bCs/>
          <w:lang w:val="bg-BG"/>
        </w:rPr>
        <w:t>рефрактерно състояние</w:t>
      </w:r>
      <w:r>
        <w:rPr>
          <w:lang w:val="bg-BG"/>
        </w:rPr>
        <w:t xml:space="preserve"> въпреки гореописаните мерки, </w:t>
      </w:r>
      <w:r w:rsidRPr="002C66D4">
        <w:rPr>
          <w:b/>
          <w:bCs/>
          <w:lang w:val="bg-BG"/>
        </w:rPr>
        <w:t xml:space="preserve">инхалации с Простациклин и Нитритен оксид (NO): </w:t>
      </w:r>
      <w:r w:rsidRPr="002C66D4">
        <w:rPr>
          <w:lang w:val="bg-BG"/>
        </w:rPr>
        <w:t>ихалираният NO достига само вентилираните алвеоли и по този начин вазодилатира само вентилираните белодробни съдове, с което се подобрява</w:t>
      </w:r>
      <w:r w:rsidRPr="002C66D4">
        <w:rPr>
          <w:b/>
          <w:bCs/>
          <w:lang w:val="bg-BG"/>
        </w:rPr>
        <w:t xml:space="preserve"> вентилационно-перфузионния индекс (V̇/Q̇). </w:t>
      </w:r>
      <w:r w:rsidRPr="002C66D4">
        <w:rPr>
          <w:lang w:val="bg-BG"/>
        </w:rPr>
        <w:t xml:space="preserve">Така таргетно се ангажират функционалните отдели на </w:t>
      </w:r>
      <w:r w:rsidR="00A6715F">
        <w:rPr>
          <w:lang w:val="bg-BG"/>
        </w:rPr>
        <w:t>белия дроб</w:t>
      </w:r>
      <w:r w:rsidRPr="002C66D4">
        <w:rPr>
          <w:lang w:val="bg-BG"/>
        </w:rPr>
        <w:t>, където</w:t>
      </w:r>
      <w:r w:rsidRPr="002C66D4">
        <w:rPr>
          <w:b/>
          <w:bCs/>
          <w:lang w:val="bg-BG"/>
        </w:rPr>
        <w:t xml:space="preserve"> поточната вентилация (Tidal Ventilation) се </w:t>
      </w:r>
      <w:r w:rsidRPr="002C66D4">
        <w:rPr>
          <w:lang w:val="bg-BG"/>
        </w:rPr>
        <w:t>насочва избирателно с цел индуциране на</w:t>
      </w:r>
      <w:r w:rsidRPr="002C66D4">
        <w:rPr>
          <w:b/>
          <w:bCs/>
          <w:lang w:val="bg-BG"/>
        </w:rPr>
        <w:t xml:space="preserve"> локална белодробна вазодилатация </w:t>
      </w:r>
      <w:r w:rsidRPr="002C66D4">
        <w:rPr>
          <w:lang w:val="bg-BG"/>
        </w:rPr>
        <w:t>и подобряване на</w:t>
      </w:r>
      <w:r w:rsidRPr="002C66D4">
        <w:rPr>
          <w:b/>
          <w:bCs/>
          <w:lang w:val="bg-BG"/>
        </w:rPr>
        <w:t xml:space="preserve"> Вентилационно-Перфузионния Индекс (V/Q Ratio – Ventilation/Perfusion=4L/min:5L/min (normal).</w:t>
      </w:r>
    </w:p>
    <w:p w14:paraId="5B52B1C3" w14:textId="77777777" w:rsidR="00610FDB" w:rsidRDefault="00610FDB" w:rsidP="00610FDB">
      <w:pPr>
        <w:pStyle w:val="ListParagraph"/>
        <w:numPr>
          <w:ilvl w:val="0"/>
          <w:numId w:val="11"/>
        </w:numPr>
        <w:ind w:left="990"/>
        <w:rPr>
          <w:b/>
          <w:bCs/>
          <w:lang w:val="bg-BG"/>
        </w:rPr>
      </w:pPr>
      <w:r>
        <w:rPr>
          <w:lang w:val="bg-BG"/>
        </w:rPr>
        <w:t xml:space="preserve">В съображение влизат и </w:t>
      </w:r>
      <w:r w:rsidRPr="00610FDB">
        <w:rPr>
          <w:b/>
          <w:bCs/>
          <w:lang w:val="bg-BG"/>
        </w:rPr>
        <w:t>п</w:t>
      </w:r>
      <w:r w:rsidR="002C66D4" w:rsidRPr="00610FDB">
        <w:rPr>
          <w:b/>
          <w:bCs/>
          <w:lang w:val="bg-BG"/>
        </w:rPr>
        <w:t>аралитици</w:t>
      </w:r>
      <w:r w:rsidRPr="00610FDB">
        <w:rPr>
          <w:lang w:val="bg-BG"/>
        </w:rPr>
        <w:t>, както и</w:t>
      </w:r>
      <w:r>
        <w:rPr>
          <w:b/>
          <w:bCs/>
          <w:lang w:val="bg-BG"/>
        </w:rPr>
        <w:t xml:space="preserve"> п</w:t>
      </w:r>
      <w:r w:rsidR="002C66D4" w:rsidRPr="00610FDB">
        <w:rPr>
          <w:b/>
          <w:bCs/>
          <w:lang w:val="bg-BG"/>
        </w:rPr>
        <w:t>озициониране на болния в пронирана позиция (по лице)</w:t>
      </w:r>
      <w:r>
        <w:rPr>
          <w:b/>
          <w:bCs/>
          <w:lang w:val="bg-BG"/>
        </w:rPr>
        <w:t>.</w:t>
      </w:r>
    </w:p>
    <w:p w14:paraId="547A9E25" w14:textId="74392783" w:rsidR="002C66D4" w:rsidRDefault="00610FDB" w:rsidP="00610FDB">
      <w:pPr>
        <w:pStyle w:val="ListParagraph"/>
        <w:numPr>
          <w:ilvl w:val="0"/>
          <w:numId w:val="11"/>
        </w:numPr>
        <w:ind w:left="990"/>
        <w:rPr>
          <w:lang w:val="bg-BG"/>
        </w:rPr>
      </w:pPr>
      <w:r>
        <w:rPr>
          <w:lang w:val="bg-BG"/>
        </w:rPr>
        <w:t xml:space="preserve">При липса на подобрение се прилага </w:t>
      </w:r>
      <w:r w:rsidR="002C66D4" w:rsidRPr="00610FDB">
        <w:rPr>
          <w:b/>
          <w:bCs/>
          <w:lang w:val="bg-BG"/>
        </w:rPr>
        <w:t>ECMO</w:t>
      </w:r>
      <w:r>
        <w:rPr>
          <w:b/>
          <w:bCs/>
          <w:lang w:val="bg-BG"/>
        </w:rPr>
        <w:t xml:space="preserve"> (екстракорпорална мембранна оксигенация)</w:t>
      </w:r>
      <w:r w:rsidR="002C66D4" w:rsidRPr="00610FDB">
        <w:rPr>
          <w:lang w:val="bg-BG"/>
        </w:rPr>
        <w:t>: Кръвта се извежда от феморалната вена, изпомпва се през силиконов мембранен оксигенатор и топлинен обменник, и се връща в дясното кръвообращение през субклавната вена и дясното предсърдие.</w:t>
      </w:r>
    </w:p>
    <w:p w14:paraId="4FADD389" w14:textId="5180122B" w:rsidR="00610FDB" w:rsidRDefault="00610FDB" w:rsidP="00610FDB">
      <w:pPr>
        <w:pStyle w:val="ListParagraph"/>
        <w:ind w:left="990"/>
        <w:rPr>
          <w:lang w:val="bg-BG"/>
        </w:rPr>
      </w:pPr>
    </w:p>
    <w:p w14:paraId="3945CD38" w14:textId="77777777" w:rsidR="0082716A" w:rsidRDefault="0082716A" w:rsidP="00610FDB">
      <w:pPr>
        <w:pStyle w:val="ListParagraph"/>
        <w:ind w:left="990"/>
        <w:rPr>
          <w:lang w:val="bg-BG"/>
        </w:rPr>
      </w:pPr>
    </w:p>
    <w:p w14:paraId="0348C338" w14:textId="2E8F7B75" w:rsidR="00F81A1A" w:rsidRPr="0082716A" w:rsidRDefault="0082716A" w:rsidP="0082716A">
      <w:pPr>
        <w:pStyle w:val="ListParagraph"/>
        <w:ind w:left="990"/>
        <w:jc w:val="center"/>
        <w:rPr>
          <w:b/>
          <w:bCs/>
          <w:sz w:val="28"/>
          <w:szCs w:val="28"/>
          <w:u w:val="single"/>
          <w:lang w:val="bg-BG"/>
        </w:rPr>
      </w:pPr>
      <w:r w:rsidRPr="0082716A">
        <w:rPr>
          <w:b/>
          <w:bCs/>
          <w:sz w:val="28"/>
          <w:szCs w:val="28"/>
          <w:u w:val="single"/>
          <w:lang w:val="bg-BG"/>
        </w:rPr>
        <w:t>ЧАСТ 2</w:t>
      </w:r>
    </w:p>
    <w:p w14:paraId="5C40C0FF" w14:textId="77777777" w:rsidR="00F81A1A" w:rsidRDefault="00F81A1A" w:rsidP="00610FDB">
      <w:pPr>
        <w:pStyle w:val="ListParagraph"/>
        <w:ind w:left="990"/>
        <w:rPr>
          <w:lang w:val="bg-BG"/>
        </w:rPr>
      </w:pPr>
    </w:p>
    <w:p w14:paraId="3CB5514B" w14:textId="53E61C8A" w:rsidR="00610FDB" w:rsidRPr="00FE52B3" w:rsidRDefault="00610FDB" w:rsidP="00610FDB">
      <w:pPr>
        <w:pStyle w:val="ListParagraph"/>
        <w:ind w:left="990"/>
        <w:jc w:val="center"/>
        <w:rPr>
          <w:b/>
          <w:bCs/>
          <w:sz w:val="24"/>
          <w:szCs w:val="24"/>
          <w:u w:val="single"/>
          <w:lang w:val="bg-BG"/>
        </w:rPr>
      </w:pPr>
      <w:r w:rsidRPr="00FE52B3">
        <w:rPr>
          <w:b/>
          <w:bCs/>
          <w:sz w:val="24"/>
          <w:szCs w:val="24"/>
          <w:u w:val="single"/>
          <w:lang w:val="bg-BG"/>
        </w:rPr>
        <w:t xml:space="preserve">Съображения по предложената Ню Йоркска актуализация на протокола за респираторна реанимация относно протективната белодробна вентилация    </w:t>
      </w:r>
    </w:p>
    <w:p w14:paraId="6BAFD84C" w14:textId="56E14E24" w:rsidR="002C66D4" w:rsidRDefault="002C66D4" w:rsidP="00610FDB">
      <w:pPr>
        <w:rPr>
          <w:b/>
          <w:bCs/>
          <w:lang w:val="bg-BG"/>
        </w:rPr>
      </w:pPr>
    </w:p>
    <w:p w14:paraId="5945821F" w14:textId="034B5680" w:rsidR="00610FDB" w:rsidRPr="00562DE8" w:rsidRDefault="00610FDB" w:rsidP="00562DE8">
      <w:pPr>
        <w:rPr>
          <w:b/>
          <w:bCs/>
          <w:lang w:val="bg-BG"/>
        </w:rPr>
      </w:pPr>
      <w:r w:rsidRPr="00562DE8">
        <w:rPr>
          <w:b/>
          <w:bCs/>
          <w:lang w:val="bg-BG"/>
        </w:rPr>
        <w:t>Острият респираторен дистрес синдром (</w:t>
      </w:r>
      <w:r w:rsidRPr="00562DE8">
        <w:rPr>
          <w:b/>
          <w:bCs/>
        </w:rPr>
        <w:t xml:space="preserve">ARDS) </w:t>
      </w:r>
      <w:r w:rsidRPr="00562DE8">
        <w:rPr>
          <w:b/>
          <w:bCs/>
          <w:lang w:val="bg-BG"/>
        </w:rPr>
        <w:t>се представя с понижено съотношение между парциалното налягане на артериалния кислород (РаО2)</w:t>
      </w:r>
      <w:r w:rsidR="00080425">
        <w:rPr>
          <w:b/>
          <w:bCs/>
          <w:lang w:val="bg-BG"/>
        </w:rPr>
        <w:t>,</w:t>
      </w:r>
      <w:r w:rsidR="00562DE8" w:rsidRPr="00562DE8">
        <w:rPr>
          <w:b/>
          <w:bCs/>
          <w:lang w:val="bg-BG"/>
        </w:rPr>
        <w:t xml:space="preserve"> който в нормално състояние би трябвало да е 80-100 </w:t>
      </w:r>
      <w:r w:rsidR="00562DE8" w:rsidRPr="00562DE8">
        <w:rPr>
          <w:b/>
          <w:bCs/>
        </w:rPr>
        <w:t xml:space="preserve">mmHg, </w:t>
      </w:r>
      <w:r w:rsidRPr="00562DE8">
        <w:rPr>
          <w:b/>
          <w:bCs/>
          <w:lang w:val="bg-BG"/>
        </w:rPr>
        <w:t xml:space="preserve"> и процентното съдържание на кислорода </w:t>
      </w:r>
      <w:r w:rsidR="00562DE8" w:rsidRPr="00562DE8">
        <w:rPr>
          <w:b/>
          <w:bCs/>
          <w:lang w:val="bg-BG"/>
        </w:rPr>
        <w:t>във вдишания въздух, което в стайни условия е 0.21 или 21%. При съотношение под</w:t>
      </w:r>
      <w:r w:rsidR="00562DE8">
        <w:rPr>
          <w:b/>
          <w:bCs/>
        </w:rPr>
        <w:t xml:space="preserve"> 200</w:t>
      </w:r>
      <w:r w:rsidR="00562DE8">
        <w:rPr>
          <w:b/>
          <w:bCs/>
          <w:lang w:val="bg-BG"/>
        </w:rPr>
        <w:t xml:space="preserve"> (което при нормални други условия означава РаО2 под 42</w:t>
      </w:r>
      <w:r w:rsidR="00562DE8" w:rsidRPr="00562DE8">
        <w:t xml:space="preserve"> </w:t>
      </w:r>
      <w:r w:rsidR="00562DE8" w:rsidRPr="00562DE8">
        <w:rPr>
          <w:b/>
          <w:bCs/>
          <w:lang w:val="bg-BG"/>
        </w:rPr>
        <w:t>ммHg</w:t>
      </w:r>
      <w:r w:rsidR="00562DE8">
        <w:rPr>
          <w:b/>
          <w:bCs/>
          <w:lang w:val="bg-BG"/>
        </w:rPr>
        <w:t>)</w:t>
      </w:r>
      <w:r w:rsidR="00562DE8">
        <w:rPr>
          <w:b/>
          <w:bCs/>
        </w:rPr>
        <w:t xml:space="preserve">, </w:t>
      </w:r>
      <w:r w:rsidR="00562DE8">
        <w:rPr>
          <w:b/>
          <w:bCs/>
          <w:lang w:val="bg-BG"/>
        </w:rPr>
        <w:t>състоянието се дефинира като остър респираторен дистрес синдром. При съотношение под 300, състоянието се дефинира като остра белодробна недостатъчност.</w:t>
      </w:r>
    </w:p>
    <w:p w14:paraId="363763A0" w14:textId="77777777" w:rsidR="00610FDB" w:rsidRDefault="00610FDB" w:rsidP="00610FDB">
      <w:pPr>
        <w:pStyle w:val="ListParagraph"/>
        <w:rPr>
          <w:b/>
          <w:bCs/>
          <w:lang w:val="bg-BG"/>
        </w:rPr>
      </w:pPr>
    </w:p>
    <w:p w14:paraId="2AE9CB32" w14:textId="0498D483" w:rsidR="00562DE8" w:rsidRDefault="00610FDB" w:rsidP="00562DE8">
      <w:pPr>
        <w:pStyle w:val="ListParagraph"/>
        <w:ind w:left="0"/>
        <w:rPr>
          <w:b/>
          <w:bCs/>
          <w:u w:val="single"/>
          <w:lang w:val="bg-BG"/>
        </w:rPr>
      </w:pPr>
      <w:r w:rsidRPr="00562DE8">
        <w:rPr>
          <w:b/>
          <w:bCs/>
          <w:u w:val="single"/>
          <w:lang w:val="bg-BG"/>
        </w:rPr>
        <w:t>PaO</w:t>
      </w:r>
      <w:r w:rsidR="00562DE8">
        <w:rPr>
          <w:b/>
          <w:bCs/>
          <w:u w:val="single"/>
          <w:lang w:val="bg-BG"/>
        </w:rPr>
        <w:t>2</w:t>
      </w:r>
      <w:r w:rsidR="00562DE8" w:rsidRPr="00562DE8">
        <w:rPr>
          <w:b/>
          <w:bCs/>
          <w:lang w:val="bg-BG"/>
        </w:rPr>
        <w:t xml:space="preserve">  </w:t>
      </w:r>
      <w:r w:rsidR="00562DE8">
        <w:rPr>
          <w:b/>
          <w:bCs/>
          <w:lang w:val="bg-BG"/>
        </w:rPr>
        <w:t xml:space="preserve"> &lt; 300     = остра белодробна недостатъчност</w:t>
      </w:r>
    </w:p>
    <w:p w14:paraId="61FBF6A8" w14:textId="66C206DC" w:rsidR="00610FDB" w:rsidRDefault="00610FDB" w:rsidP="00562DE8">
      <w:pPr>
        <w:pStyle w:val="ListParagraph"/>
        <w:ind w:left="0"/>
        <w:rPr>
          <w:b/>
          <w:bCs/>
          <w:lang w:val="bg-BG"/>
        </w:rPr>
      </w:pPr>
      <w:r w:rsidRPr="00610FDB">
        <w:rPr>
          <w:b/>
          <w:bCs/>
          <w:lang w:val="bg-BG"/>
        </w:rPr>
        <w:t>FiO2</w:t>
      </w:r>
    </w:p>
    <w:p w14:paraId="3C8E0DD9" w14:textId="30B61533" w:rsidR="00F81A1A" w:rsidRDefault="00F81A1A" w:rsidP="00562DE8">
      <w:pPr>
        <w:pStyle w:val="ListParagraph"/>
        <w:ind w:left="0"/>
        <w:rPr>
          <w:b/>
          <w:bCs/>
          <w:lang w:val="bg-BG"/>
        </w:rPr>
      </w:pPr>
    </w:p>
    <w:p w14:paraId="5458176C" w14:textId="77777777" w:rsidR="00F81A1A" w:rsidRPr="00610FDB" w:rsidRDefault="00F81A1A" w:rsidP="00562DE8">
      <w:pPr>
        <w:pStyle w:val="ListParagraph"/>
        <w:ind w:left="0"/>
        <w:rPr>
          <w:b/>
          <w:bCs/>
          <w:u w:val="single"/>
          <w:lang w:val="bg-BG"/>
        </w:rPr>
      </w:pPr>
    </w:p>
    <w:p w14:paraId="5018890F" w14:textId="2CA2908E" w:rsidR="00F81A1A" w:rsidRDefault="00F81A1A" w:rsidP="00F81A1A">
      <w:pPr>
        <w:pStyle w:val="ListParagraph"/>
        <w:ind w:left="0"/>
        <w:rPr>
          <w:b/>
          <w:bCs/>
          <w:u w:val="single"/>
          <w:lang w:val="bg-BG"/>
        </w:rPr>
      </w:pPr>
      <w:r w:rsidRPr="00562DE8">
        <w:rPr>
          <w:b/>
          <w:bCs/>
          <w:u w:val="single"/>
          <w:lang w:val="bg-BG"/>
        </w:rPr>
        <w:t>PaO</w:t>
      </w:r>
      <w:r>
        <w:rPr>
          <w:b/>
          <w:bCs/>
          <w:u w:val="single"/>
          <w:lang w:val="bg-BG"/>
        </w:rPr>
        <w:t>2</w:t>
      </w:r>
      <w:r w:rsidRPr="00562DE8">
        <w:rPr>
          <w:b/>
          <w:bCs/>
          <w:lang w:val="bg-BG"/>
        </w:rPr>
        <w:t xml:space="preserve">  </w:t>
      </w:r>
      <w:r>
        <w:rPr>
          <w:b/>
          <w:bCs/>
          <w:lang w:val="bg-BG"/>
        </w:rPr>
        <w:t xml:space="preserve"> &lt; 200     = остър респираторен дистрес синдром                      </w:t>
      </w:r>
    </w:p>
    <w:p w14:paraId="584EEC09" w14:textId="77777777" w:rsidR="00F81A1A" w:rsidRPr="00610FDB" w:rsidRDefault="00F81A1A" w:rsidP="00F81A1A">
      <w:pPr>
        <w:pStyle w:val="ListParagraph"/>
        <w:ind w:left="0"/>
        <w:rPr>
          <w:b/>
          <w:bCs/>
          <w:u w:val="single"/>
          <w:lang w:val="bg-BG"/>
        </w:rPr>
      </w:pPr>
      <w:r w:rsidRPr="00610FDB">
        <w:rPr>
          <w:b/>
          <w:bCs/>
          <w:lang w:val="bg-BG"/>
        </w:rPr>
        <w:t xml:space="preserve"> FiO2        </w:t>
      </w:r>
    </w:p>
    <w:p w14:paraId="201D5E83" w14:textId="1BC90A39" w:rsidR="00610FDB" w:rsidRPr="00610FDB" w:rsidRDefault="00610FDB" w:rsidP="00610FDB">
      <w:pPr>
        <w:rPr>
          <w:b/>
          <w:bCs/>
          <w:lang w:val="bg-BG"/>
        </w:rPr>
      </w:pPr>
      <w:r w:rsidRPr="00610FDB">
        <w:rPr>
          <w:b/>
          <w:bCs/>
          <w:lang w:val="bg-BG"/>
        </w:rPr>
        <w:t xml:space="preserve">Kлиничната картина </w:t>
      </w:r>
      <w:r w:rsidR="00F81A1A">
        <w:rPr>
          <w:b/>
          <w:bCs/>
          <w:lang w:val="bg-BG"/>
        </w:rPr>
        <w:t xml:space="preserve">при </w:t>
      </w:r>
      <w:r w:rsidR="00F81A1A">
        <w:rPr>
          <w:b/>
          <w:bCs/>
        </w:rPr>
        <w:t xml:space="preserve">COVID-19 ARDS </w:t>
      </w:r>
      <w:r w:rsidRPr="00610FDB">
        <w:rPr>
          <w:b/>
          <w:bCs/>
          <w:lang w:val="bg-BG"/>
        </w:rPr>
        <w:t xml:space="preserve">прилича повече на височинен белодробен оток (High-Altitude Pulmonary Edema – HAPE). </w:t>
      </w:r>
    </w:p>
    <w:p w14:paraId="21BF7812" w14:textId="4B67E4B2" w:rsidR="00610FDB" w:rsidRPr="00610FDB" w:rsidRDefault="00610FDB" w:rsidP="00610FDB">
      <w:pPr>
        <w:rPr>
          <w:b/>
          <w:bCs/>
          <w:lang w:val="bg-BG"/>
        </w:rPr>
      </w:pPr>
      <w:r w:rsidRPr="00610FDB">
        <w:rPr>
          <w:b/>
          <w:bCs/>
          <w:lang w:val="bg-BG"/>
        </w:rPr>
        <w:t xml:space="preserve">Ако това се потвърди в патофизиологичен аспект, може да се окаже че общоприетият към момента протокол базиран на вентилация с по-високо позитивно крайно експираторно налягане (Positive End-Expiratory Pressure – PEEP) нанася допълнително увреждане на белия дроб. </w:t>
      </w:r>
      <w:r w:rsidR="00F81A1A">
        <w:rPr>
          <w:b/>
          <w:bCs/>
          <w:lang w:val="bg-BG"/>
        </w:rPr>
        <w:t xml:space="preserve">Поради това група от специалисти по респираторна реанимация в Ню Йорк препоръчва </w:t>
      </w:r>
      <w:r w:rsidRPr="00610FDB">
        <w:rPr>
          <w:b/>
          <w:bCs/>
          <w:lang w:val="bg-BG"/>
        </w:rPr>
        <w:lastRenderedPageBreak/>
        <w:t xml:space="preserve">промяна на протокола </w:t>
      </w:r>
      <w:r w:rsidR="00F81A1A">
        <w:rPr>
          <w:b/>
          <w:bCs/>
          <w:lang w:val="bg-BG"/>
        </w:rPr>
        <w:t xml:space="preserve">в посока </w:t>
      </w:r>
      <w:r w:rsidRPr="00610FDB">
        <w:rPr>
          <w:b/>
          <w:bCs/>
          <w:lang w:val="bg-BG"/>
        </w:rPr>
        <w:t xml:space="preserve">към пулмонарно-протективна стратегия с приложение на по-ниско, а не по-високо крайно-експираторно налягане (РЕЕР). </w:t>
      </w:r>
    </w:p>
    <w:p w14:paraId="1C7F9392" w14:textId="7C6F9FE1" w:rsidR="00610FDB" w:rsidRDefault="00610FDB" w:rsidP="00610FDB">
      <w:pPr>
        <w:rPr>
          <w:b/>
          <w:bCs/>
          <w:lang w:val="bg-BG"/>
        </w:rPr>
      </w:pPr>
      <w:r w:rsidRPr="00610FDB">
        <w:rPr>
          <w:b/>
          <w:bCs/>
          <w:lang w:val="bg-BG"/>
        </w:rPr>
        <w:t> Клинични наблюдения на екипи от Медицинския унверситет в Гьотинген, Германия и северна Италия публикуваха клинични наблюдения на пациенти в интензивни клиники с COVID-19 в северна Италия, които развиват нетипична за ARDS клинична картина и по-точно презентират добре-запазен белодробен газов обем на фона на тежка хипоксемия. При такава картина препоръките са вместо повишен РЕЕР, да се търси най-ниския възможен РЕЕР и възможно най-щадяща вентилация.</w:t>
      </w:r>
    </w:p>
    <w:p w14:paraId="6155697B" w14:textId="3EB85045" w:rsidR="00A6715F" w:rsidRDefault="00A6715F" w:rsidP="00610FDB">
      <w:pPr>
        <w:rPr>
          <w:b/>
          <w:bCs/>
          <w:lang w:val="bg-BG"/>
        </w:rPr>
      </w:pPr>
      <w:r>
        <w:rPr>
          <w:b/>
          <w:bCs/>
          <w:lang w:val="bg-BG"/>
        </w:rPr>
        <w:t xml:space="preserve">Този подход, прилаган във ВМА от самото начало на пандемията, произвежда много добри резултати при нулев леталитет спрямо днешна дата – 11 април 2020. </w:t>
      </w:r>
    </w:p>
    <w:p w14:paraId="5853865A" w14:textId="02725F3B" w:rsidR="00610FDB" w:rsidRDefault="00610FDB" w:rsidP="00361CDD">
      <w:pPr>
        <w:jc w:val="center"/>
        <w:rPr>
          <w:b/>
          <w:bCs/>
          <w:lang w:val="bg-BG"/>
        </w:rPr>
      </w:pPr>
    </w:p>
    <w:p w14:paraId="32A3EA7D" w14:textId="77777777" w:rsidR="00DC354B" w:rsidRDefault="00FE52B3" w:rsidP="00361CDD">
      <w:pPr>
        <w:jc w:val="center"/>
        <w:rPr>
          <w:b/>
          <w:bCs/>
          <w:sz w:val="24"/>
          <w:szCs w:val="24"/>
          <w:u w:val="single"/>
        </w:rPr>
      </w:pPr>
      <w:r>
        <w:rPr>
          <w:b/>
          <w:bCs/>
          <w:sz w:val="24"/>
          <w:szCs w:val="24"/>
          <w:u w:val="single"/>
          <w:lang w:val="bg-BG"/>
        </w:rPr>
        <w:t xml:space="preserve">Допълнителни </w:t>
      </w:r>
      <w:r w:rsidR="00DC354B">
        <w:rPr>
          <w:b/>
          <w:bCs/>
          <w:sz w:val="24"/>
          <w:szCs w:val="24"/>
          <w:u w:val="single"/>
          <w:lang w:val="bg-BG"/>
        </w:rPr>
        <w:t>данни в полза на предложението за</w:t>
      </w:r>
      <w:r w:rsidR="00361CDD" w:rsidRPr="00FE52B3">
        <w:rPr>
          <w:b/>
          <w:bCs/>
          <w:sz w:val="24"/>
          <w:szCs w:val="24"/>
          <w:u w:val="single"/>
          <w:lang w:val="bg-BG"/>
        </w:rPr>
        <w:t xml:space="preserve"> актуализация на респираторната реанимация при </w:t>
      </w:r>
      <w:r w:rsidR="00361CDD" w:rsidRPr="00FE52B3">
        <w:rPr>
          <w:b/>
          <w:bCs/>
          <w:sz w:val="24"/>
          <w:szCs w:val="24"/>
          <w:u w:val="single"/>
        </w:rPr>
        <w:t>COVID-19</w:t>
      </w:r>
    </w:p>
    <w:p w14:paraId="78BC07FD" w14:textId="417E0BA0" w:rsidR="00361CDD" w:rsidRPr="00FE52B3" w:rsidRDefault="00DC354B" w:rsidP="00361CDD">
      <w:pPr>
        <w:jc w:val="center"/>
        <w:rPr>
          <w:b/>
          <w:bCs/>
          <w:sz w:val="24"/>
          <w:szCs w:val="24"/>
          <w:u w:val="single"/>
          <w:lang w:val="bg-BG"/>
        </w:rPr>
      </w:pPr>
      <w:r>
        <w:rPr>
          <w:b/>
          <w:bCs/>
          <w:sz w:val="24"/>
          <w:szCs w:val="24"/>
          <w:u w:val="single"/>
          <w:lang w:val="bg-BG"/>
        </w:rPr>
        <w:t>О</w:t>
      </w:r>
      <w:r w:rsidR="00361CDD" w:rsidRPr="00FE52B3">
        <w:rPr>
          <w:b/>
          <w:bCs/>
          <w:sz w:val="24"/>
          <w:szCs w:val="24"/>
          <w:u w:val="single"/>
          <w:lang w:val="bg-BG"/>
        </w:rPr>
        <w:t xml:space="preserve">бобщени </w:t>
      </w:r>
      <w:r>
        <w:rPr>
          <w:b/>
          <w:bCs/>
          <w:sz w:val="24"/>
          <w:szCs w:val="24"/>
          <w:u w:val="single"/>
          <w:lang w:val="bg-BG"/>
        </w:rPr>
        <w:t>препоръки на основата на опита на клиникит</w:t>
      </w:r>
      <w:r w:rsidR="00361CDD" w:rsidRPr="00FE52B3">
        <w:rPr>
          <w:b/>
          <w:bCs/>
          <w:sz w:val="24"/>
          <w:szCs w:val="24"/>
          <w:u w:val="single"/>
          <w:lang w:val="bg-BG"/>
        </w:rPr>
        <w:t>е за интензивно лечение в Северна Италия, Германия</w:t>
      </w:r>
      <w:r w:rsidR="00512604" w:rsidRPr="00FE52B3">
        <w:rPr>
          <w:b/>
          <w:bCs/>
          <w:sz w:val="24"/>
          <w:szCs w:val="24"/>
          <w:u w:val="single"/>
          <w:lang w:val="bg-BG"/>
        </w:rPr>
        <w:t>, Великобритания</w:t>
      </w:r>
      <w:r w:rsidR="00361CDD" w:rsidRPr="00FE52B3">
        <w:rPr>
          <w:b/>
          <w:bCs/>
          <w:sz w:val="24"/>
          <w:szCs w:val="24"/>
          <w:u w:val="single"/>
          <w:lang w:val="bg-BG"/>
        </w:rPr>
        <w:t xml:space="preserve"> и САЩ</w:t>
      </w:r>
    </w:p>
    <w:p w14:paraId="46F7850C" w14:textId="5740CA30" w:rsidR="00361CDD" w:rsidRPr="00FE52B3" w:rsidRDefault="00361CDD" w:rsidP="00361CDD">
      <w:pPr>
        <w:jc w:val="center"/>
        <w:rPr>
          <w:b/>
          <w:bCs/>
          <w:sz w:val="24"/>
          <w:szCs w:val="24"/>
          <w:lang w:val="bg-BG"/>
        </w:rPr>
      </w:pPr>
      <w:r w:rsidRPr="00FE52B3">
        <w:rPr>
          <w:b/>
          <w:bCs/>
          <w:sz w:val="24"/>
          <w:szCs w:val="24"/>
          <w:lang w:val="bg-BG"/>
        </w:rPr>
        <w:t>(Обобщението е направено по актуални данни към 12-ти април, 2020 г)</w:t>
      </w:r>
    </w:p>
    <w:p w14:paraId="6B99790A" w14:textId="38E0E5C4" w:rsidR="00361CDD" w:rsidRDefault="00361CDD" w:rsidP="00361CDD">
      <w:pPr>
        <w:rPr>
          <w:b/>
          <w:bCs/>
          <w:lang w:val="bg-BG"/>
        </w:rPr>
      </w:pPr>
    </w:p>
    <w:p w14:paraId="107D1930" w14:textId="6D2B2B74" w:rsidR="009074F0" w:rsidRPr="00DC354B" w:rsidRDefault="009074F0" w:rsidP="00DC354B">
      <w:pPr>
        <w:rPr>
          <w:b/>
          <w:bCs/>
          <w:lang w:val="bg-BG"/>
        </w:rPr>
      </w:pPr>
      <w:r w:rsidRPr="00DC354B">
        <w:rPr>
          <w:b/>
          <w:bCs/>
          <w:lang w:val="bg-BG"/>
        </w:rPr>
        <w:t xml:space="preserve">Все повече се налага становището, че </w:t>
      </w:r>
      <w:r w:rsidR="000D1E5B">
        <w:rPr>
          <w:b/>
          <w:bCs/>
          <w:lang w:val="bg-BG"/>
        </w:rPr>
        <w:t xml:space="preserve">практиката на </w:t>
      </w:r>
      <w:r w:rsidRPr="00DC354B">
        <w:rPr>
          <w:b/>
          <w:bCs/>
          <w:lang w:val="bg-BG"/>
        </w:rPr>
        <w:t xml:space="preserve">автоматично прилагане на стандартните протоколи за лечение на </w:t>
      </w:r>
      <w:r w:rsidR="00512604" w:rsidRPr="00DC354B">
        <w:rPr>
          <w:b/>
          <w:bCs/>
          <w:lang w:val="bg-BG"/>
        </w:rPr>
        <w:t>острия респираторен дистрес синдром (</w:t>
      </w:r>
      <w:r w:rsidRPr="00DC354B">
        <w:rPr>
          <w:b/>
          <w:bCs/>
        </w:rPr>
        <w:t>ARDS</w:t>
      </w:r>
      <w:r w:rsidR="00512604" w:rsidRPr="00DC354B">
        <w:rPr>
          <w:b/>
          <w:bCs/>
          <w:lang w:val="bg-BG"/>
        </w:rPr>
        <w:t xml:space="preserve">) при болни с </w:t>
      </w:r>
      <w:r w:rsidR="00512604" w:rsidRPr="00DC354B">
        <w:rPr>
          <w:b/>
          <w:bCs/>
        </w:rPr>
        <w:t>COVID-19</w:t>
      </w:r>
      <w:r w:rsidRPr="00DC354B">
        <w:rPr>
          <w:b/>
          <w:bCs/>
          <w:lang w:val="bg-BG"/>
        </w:rPr>
        <w:t xml:space="preserve"> чрез </w:t>
      </w:r>
      <w:r w:rsidR="000D1E5B">
        <w:rPr>
          <w:b/>
          <w:bCs/>
          <w:lang w:val="bg-BG"/>
        </w:rPr>
        <w:t xml:space="preserve">ранна </w:t>
      </w:r>
      <w:r w:rsidRPr="00DC354B">
        <w:rPr>
          <w:b/>
          <w:bCs/>
          <w:lang w:val="bg-BG"/>
        </w:rPr>
        <w:t xml:space="preserve">механична вентилация </w:t>
      </w:r>
      <w:r w:rsidR="000D1E5B">
        <w:rPr>
          <w:b/>
          <w:bCs/>
          <w:lang w:val="bg-BG"/>
        </w:rPr>
        <w:t>подлежи на актуализация</w:t>
      </w:r>
      <w:r w:rsidRPr="00DC354B">
        <w:rPr>
          <w:b/>
          <w:bCs/>
          <w:lang w:val="bg-BG"/>
        </w:rPr>
        <w:t>. Обобщените данни показват, че трябва да се търси индивидуален подход към конкретния болен и вентилационният протокол да се оптимизира на базата на конкретната патофизиологична картина при</w:t>
      </w:r>
      <w:r w:rsidR="000D1E5B">
        <w:rPr>
          <w:b/>
          <w:bCs/>
          <w:lang w:val="bg-BG"/>
        </w:rPr>
        <w:t xml:space="preserve"> конкретния</w:t>
      </w:r>
      <w:r w:rsidRPr="00DC354B">
        <w:rPr>
          <w:b/>
          <w:bCs/>
          <w:lang w:val="bg-BG"/>
        </w:rPr>
        <w:t xml:space="preserve"> болен.</w:t>
      </w:r>
    </w:p>
    <w:p w14:paraId="64001021" w14:textId="76D37BBA" w:rsidR="009074F0" w:rsidRPr="000D1E5B" w:rsidRDefault="009074F0" w:rsidP="000D1E5B">
      <w:pPr>
        <w:rPr>
          <w:lang w:val="bg-BG"/>
        </w:rPr>
      </w:pPr>
      <w:r w:rsidRPr="000D1E5B">
        <w:rPr>
          <w:lang w:val="bg-BG"/>
        </w:rPr>
        <w:t xml:space="preserve">След анализа на натрупаните към този момент данни можем да заключим че патофизиологията при </w:t>
      </w:r>
      <w:r>
        <w:t xml:space="preserve">COVID-19 </w:t>
      </w:r>
      <w:r w:rsidRPr="000D1E5B">
        <w:rPr>
          <w:lang w:val="bg-BG"/>
        </w:rPr>
        <w:t>се различава от първоначално приетия модел при обявяването на пандемията</w:t>
      </w:r>
      <w:r w:rsidR="00753C88" w:rsidRPr="000D1E5B">
        <w:rPr>
          <w:lang w:val="bg-BG"/>
        </w:rPr>
        <w:t xml:space="preserve">, поради което респираторната реанимация на основата на предварително фиксирани протоколи за класическата форма на </w:t>
      </w:r>
      <w:r w:rsidR="00753C88">
        <w:t>ARDS</w:t>
      </w:r>
      <w:r w:rsidR="00753C88" w:rsidRPr="000D1E5B">
        <w:rPr>
          <w:lang w:val="bg-BG"/>
        </w:rPr>
        <w:t xml:space="preserve"> не само че може да се окаже неподходяща, но би могла да нанесе вреда на болния с </w:t>
      </w:r>
      <w:r w:rsidR="00753C88">
        <w:t>COVID-19.</w:t>
      </w:r>
      <w:r w:rsidR="00753C88" w:rsidRPr="000D1E5B">
        <w:rPr>
          <w:lang w:val="bg-BG"/>
        </w:rPr>
        <w:t xml:space="preserve"> Много от пациентите на интензивна терапия с </w:t>
      </w:r>
      <w:r w:rsidR="00753C88">
        <w:t>COVID-19</w:t>
      </w:r>
      <w:r w:rsidR="00753C88" w:rsidRPr="000D1E5B">
        <w:rPr>
          <w:lang w:val="bg-BG"/>
        </w:rPr>
        <w:t xml:space="preserve"> развиват </w:t>
      </w:r>
      <w:r w:rsidR="00753C88" w:rsidRPr="00A032DE">
        <w:rPr>
          <w:b/>
          <w:bCs/>
          <w:lang w:val="bg-BG"/>
        </w:rPr>
        <w:t xml:space="preserve">нетипични форми на </w:t>
      </w:r>
      <w:r w:rsidR="00753C88" w:rsidRPr="00A032DE">
        <w:rPr>
          <w:b/>
          <w:bCs/>
        </w:rPr>
        <w:t>ARDS</w:t>
      </w:r>
      <w:r w:rsidR="00512604">
        <w:t xml:space="preserve"> </w:t>
      </w:r>
      <w:r w:rsidR="00512604" w:rsidRPr="000D1E5B">
        <w:rPr>
          <w:lang w:val="bg-BG"/>
        </w:rPr>
        <w:t xml:space="preserve">с </w:t>
      </w:r>
      <w:r w:rsidR="00512604" w:rsidRPr="00A032DE">
        <w:rPr>
          <w:b/>
          <w:bCs/>
          <w:lang w:val="bg-BG"/>
        </w:rPr>
        <w:t>тежка хипоксемия</w:t>
      </w:r>
      <w:r w:rsidR="00512604" w:rsidRPr="000D1E5B">
        <w:rPr>
          <w:lang w:val="bg-BG"/>
        </w:rPr>
        <w:t xml:space="preserve"> на фона на </w:t>
      </w:r>
      <w:r w:rsidR="00512604" w:rsidRPr="00A032DE">
        <w:rPr>
          <w:b/>
          <w:bCs/>
          <w:lang w:val="bg-BG"/>
        </w:rPr>
        <w:t>запазен белодробен газов обем</w:t>
      </w:r>
      <w:r w:rsidR="00512604" w:rsidRPr="000D1E5B">
        <w:rPr>
          <w:lang w:val="bg-BG"/>
        </w:rPr>
        <w:t xml:space="preserve">. При тези болни, вместо високо положително крайно-експираторно налягане (РЕЕР), би трябвало да се прилага </w:t>
      </w:r>
      <w:r w:rsidR="00512604" w:rsidRPr="00A032DE">
        <w:rPr>
          <w:b/>
          <w:bCs/>
          <w:lang w:val="bg-BG"/>
        </w:rPr>
        <w:t>възможно най-ниското РЕЕР</w:t>
      </w:r>
      <w:r w:rsidR="00512604" w:rsidRPr="000D1E5B">
        <w:rPr>
          <w:lang w:val="bg-BG"/>
        </w:rPr>
        <w:t xml:space="preserve"> и максимално </w:t>
      </w:r>
      <w:r w:rsidR="00512604" w:rsidRPr="00A032DE">
        <w:rPr>
          <w:b/>
          <w:bCs/>
          <w:lang w:val="bg-BG"/>
        </w:rPr>
        <w:t>щадяща вентилация</w:t>
      </w:r>
      <w:r w:rsidR="00512604" w:rsidRPr="000D1E5B">
        <w:rPr>
          <w:lang w:val="bg-BG"/>
        </w:rPr>
        <w:t xml:space="preserve"> за печелене на време в условията на минимален стрес върху белия дроб.</w:t>
      </w:r>
      <w:r w:rsidR="00753C88" w:rsidRPr="000D1E5B">
        <w:rPr>
          <w:lang w:val="bg-BG"/>
        </w:rPr>
        <w:t xml:space="preserve"> </w:t>
      </w:r>
      <w:r w:rsidR="00753C88">
        <w:t xml:space="preserve"> </w:t>
      </w:r>
    </w:p>
    <w:p w14:paraId="78E8A3A5" w14:textId="540B3FBE" w:rsidR="009074F0" w:rsidRPr="000D1E5B" w:rsidRDefault="002E5A75" w:rsidP="000D1E5B">
      <w:pPr>
        <w:rPr>
          <w:b/>
          <w:bCs/>
        </w:rPr>
      </w:pPr>
      <w:r w:rsidRPr="000D1E5B">
        <w:rPr>
          <w:b/>
          <w:bCs/>
          <w:lang w:val="bg-BG"/>
        </w:rPr>
        <w:t>При постъпване на пациент по спешност с картина на респираторна недостатъчност с неизяснена етиология:</w:t>
      </w:r>
    </w:p>
    <w:p w14:paraId="47A3E46D" w14:textId="22338515" w:rsidR="00637F58" w:rsidRPr="000D1E5B" w:rsidRDefault="002E5A75" w:rsidP="000D1E5B">
      <w:pPr>
        <w:rPr>
          <w:lang w:val="bg-BG"/>
        </w:rPr>
      </w:pPr>
      <w:r w:rsidRPr="000D1E5B">
        <w:rPr>
          <w:lang w:val="bg-BG"/>
        </w:rPr>
        <w:t xml:space="preserve">Първо трабва да се изясни етиологията и придружаващите заболявания, особено тези попадащи в рисковите категории. В условията на </w:t>
      </w:r>
      <w:r w:rsidR="000D1E5B">
        <w:rPr>
          <w:lang w:val="bg-BG"/>
        </w:rPr>
        <w:t xml:space="preserve">обявената </w:t>
      </w:r>
      <w:r>
        <w:t xml:space="preserve">COVID-19 </w:t>
      </w:r>
      <w:r w:rsidRPr="000D1E5B">
        <w:rPr>
          <w:lang w:val="bg-BG"/>
        </w:rPr>
        <w:t>пандемия се използват ЛПС и се прилагат мерки против аерозолизация и трансмисия на вируса, вкл. избягване на</w:t>
      </w:r>
      <w:r>
        <w:t xml:space="preserve"> </w:t>
      </w:r>
      <w:r w:rsidRPr="000D1E5B">
        <w:rPr>
          <w:lang w:val="bg-BG"/>
        </w:rPr>
        <w:t xml:space="preserve">назални канюли с висок поточен обем кислород - </w:t>
      </w:r>
      <w:r>
        <w:t>High-flow Nasal Canula (HFNC)</w:t>
      </w:r>
      <w:r w:rsidRPr="000D1E5B">
        <w:rPr>
          <w:lang w:val="bg-BG"/>
        </w:rPr>
        <w:t xml:space="preserve">, които </w:t>
      </w:r>
      <w:r w:rsidR="00637F58" w:rsidRPr="000D1E5B">
        <w:rPr>
          <w:lang w:val="bg-BG"/>
        </w:rPr>
        <w:t>освен риск от аерозолизация, натоварват болничната система за осигуряване на кислород.</w:t>
      </w:r>
    </w:p>
    <w:p w14:paraId="085FF5C2" w14:textId="76D543CB" w:rsidR="003E5D06" w:rsidRPr="00CC5144" w:rsidRDefault="00637F58" w:rsidP="00CC5144">
      <w:pPr>
        <w:rPr>
          <w:lang w:val="bg-BG"/>
        </w:rPr>
      </w:pPr>
      <w:r w:rsidRPr="000D1E5B">
        <w:rPr>
          <w:lang w:val="bg-BG"/>
        </w:rPr>
        <w:lastRenderedPageBreak/>
        <w:t xml:space="preserve">Повечето пациенти с </w:t>
      </w:r>
      <w:r>
        <w:t xml:space="preserve">COVID-19 </w:t>
      </w:r>
      <w:r w:rsidRPr="000D1E5B">
        <w:rPr>
          <w:lang w:val="bg-BG"/>
        </w:rPr>
        <w:t xml:space="preserve">се представят с </w:t>
      </w:r>
      <w:r w:rsidRPr="00A032DE">
        <w:rPr>
          <w:b/>
          <w:bCs/>
          <w:lang w:val="bg-BG"/>
        </w:rPr>
        <w:t>хипоксемия</w:t>
      </w:r>
      <w:r w:rsidRPr="000D1E5B">
        <w:rPr>
          <w:lang w:val="bg-BG"/>
        </w:rPr>
        <w:t xml:space="preserve"> и </w:t>
      </w:r>
      <w:r w:rsidRPr="00A032DE">
        <w:rPr>
          <w:b/>
          <w:bCs/>
          <w:lang w:val="bg-BG"/>
        </w:rPr>
        <w:t>респираторна недостатъчност от 1-ви</w:t>
      </w:r>
      <w:r w:rsidRPr="000D1E5B">
        <w:rPr>
          <w:lang w:val="bg-BG"/>
        </w:rPr>
        <w:t xml:space="preserve"> </w:t>
      </w:r>
      <w:r w:rsidRPr="00A032DE">
        <w:rPr>
          <w:b/>
          <w:bCs/>
          <w:lang w:val="bg-BG"/>
        </w:rPr>
        <w:t>тип</w:t>
      </w:r>
      <w:r w:rsidRPr="000D1E5B">
        <w:rPr>
          <w:lang w:val="bg-BG"/>
        </w:rPr>
        <w:t xml:space="preserve">, т.е. с </w:t>
      </w:r>
      <w:r>
        <w:t xml:space="preserve">PaO2 &lt; 55 mmHg </w:t>
      </w:r>
      <w:r w:rsidRPr="000D1E5B">
        <w:rPr>
          <w:lang w:val="bg-BG"/>
        </w:rPr>
        <w:t>(</w:t>
      </w:r>
      <w:r>
        <w:t>7kPa</w:t>
      </w:r>
      <w:r w:rsidRPr="000D1E5B">
        <w:rPr>
          <w:lang w:val="bg-BG"/>
        </w:rPr>
        <w:t xml:space="preserve">) и нормален или нисък СО2 (при </w:t>
      </w:r>
      <w:r w:rsidR="0032314A" w:rsidRPr="000D1E5B">
        <w:rPr>
          <w:lang w:val="bg-BG"/>
        </w:rPr>
        <w:t xml:space="preserve">2-ри тип се добавя и хиперкапния). Поради това приложението на </w:t>
      </w:r>
      <w:r w:rsidR="0032314A" w:rsidRPr="00A032DE">
        <w:rPr>
          <w:b/>
          <w:bCs/>
          <w:lang w:val="bg-BG"/>
        </w:rPr>
        <w:t xml:space="preserve">кислород и </w:t>
      </w:r>
      <w:r w:rsidR="000D1E5B" w:rsidRPr="00A032DE">
        <w:rPr>
          <w:b/>
          <w:bCs/>
          <w:lang w:val="bg-BG"/>
        </w:rPr>
        <w:t xml:space="preserve">белодробен </w:t>
      </w:r>
      <w:r w:rsidR="003E5D06" w:rsidRPr="00A032DE">
        <w:rPr>
          <w:b/>
          <w:bCs/>
          <w:lang w:val="bg-BG"/>
        </w:rPr>
        <w:t>рекрутмънт</w:t>
      </w:r>
      <w:r w:rsidR="003E5D06" w:rsidRPr="000D1E5B">
        <w:rPr>
          <w:lang w:val="bg-BG"/>
        </w:rPr>
        <w:t xml:space="preserve"> се смята за най-добрия подход при тези пациенти. Администрацията на </w:t>
      </w:r>
      <w:r w:rsidR="003E5D06" w:rsidRPr="00A032DE">
        <w:rPr>
          <w:b/>
          <w:bCs/>
          <w:lang w:val="bg-BG"/>
        </w:rPr>
        <w:t>кислород</w:t>
      </w:r>
      <w:r w:rsidR="003E5D06" w:rsidRPr="000D1E5B">
        <w:rPr>
          <w:lang w:val="bg-BG"/>
        </w:rPr>
        <w:t xml:space="preserve"> </w:t>
      </w:r>
      <w:r w:rsidR="00643560">
        <w:rPr>
          <w:lang w:val="bg-BG"/>
        </w:rPr>
        <w:t>чрез</w:t>
      </w:r>
      <w:r w:rsidR="003E5D06" w:rsidRPr="000D1E5B">
        <w:rPr>
          <w:lang w:val="bg-BG"/>
        </w:rPr>
        <w:t xml:space="preserve"> по-ниско-инвазивни методи като продължаващо позитивно налягане на дихателните пътища – </w:t>
      </w:r>
      <w:r w:rsidR="003E5D06" w:rsidRPr="00A032DE">
        <w:rPr>
          <w:b/>
          <w:bCs/>
        </w:rPr>
        <w:t>continuous positive airway pressure (CPAP)</w:t>
      </w:r>
      <w:r w:rsidR="003E5D06" w:rsidRPr="000D1E5B">
        <w:rPr>
          <w:lang w:val="bg-BG"/>
        </w:rPr>
        <w:t xml:space="preserve"> е част от този подход. Ако обаче пациентът започне да се уморява и да губи сили, или симптоматиката да се увеличава, само оксигенацията и конвенционалната вентилация няма да решат проблема и в съображение влиза механичната вентилация.</w:t>
      </w:r>
    </w:p>
    <w:p w14:paraId="1C4BF585" w14:textId="294E5B91" w:rsidR="003E62E3" w:rsidRDefault="003E5D06" w:rsidP="003E62E3">
      <w:pPr>
        <w:pStyle w:val="ListParagraph"/>
        <w:numPr>
          <w:ilvl w:val="0"/>
          <w:numId w:val="14"/>
        </w:numPr>
        <w:rPr>
          <w:lang w:val="bg-BG"/>
        </w:rPr>
      </w:pPr>
      <w:r>
        <w:rPr>
          <w:lang w:val="bg-BG"/>
        </w:rPr>
        <w:t xml:space="preserve">В много случаи постъпващите в реанимация пациенти са всъщност преведени от инфекциозните клиники </w:t>
      </w:r>
      <w:r w:rsidR="008F0F17">
        <w:rPr>
          <w:lang w:val="bg-BG"/>
        </w:rPr>
        <w:t xml:space="preserve">и </w:t>
      </w:r>
      <w:r w:rsidR="00FE3B3F">
        <w:rPr>
          <w:lang w:val="bg-BG"/>
        </w:rPr>
        <w:t xml:space="preserve">при вентилацията се оказва че те </w:t>
      </w:r>
      <w:r w:rsidR="008F0F17">
        <w:rPr>
          <w:lang w:val="bg-BG"/>
        </w:rPr>
        <w:t xml:space="preserve">са с </w:t>
      </w:r>
      <w:r w:rsidR="003E62E3" w:rsidRPr="003E62E3">
        <w:rPr>
          <w:b/>
          <w:bCs/>
          <w:color w:val="0000FF"/>
          <w:lang w:val="bg-BG"/>
        </w:rPr>
        <w:t>висок</w:t>
      </w:r>
      <w:r w:rsidR="008F0F17" w:rsidRPr="003E62E3">
        <w:rPr>
          <w:b/>
          <w:bCs/>
          <w:color w:val="0000FF"/>
          <w:lang w:val="bg-BG"/>
        </w:rPr>
        <w:t xml:space="preserve"> </w:t>
      </w:r>
      <w:r w:rsidR="003E62E3" w:rsidRPr="003E62E3">
        <w:rPr>
          <w:b/>
          <w:bCs/>
          <w:color w:val="0000FF"/>
          <w:lang w:val="bg-BG"/>
        </w:rPr>
        <w:t>к</w:t>
      </w:r>
      <w:r w:rsidR="008F0F17" w:rsidRPr="003E62E3">
        <w:rPr>
          <w:b/>
          <w:bCs/>
          <w:color w:val="0000FF"/>
          <w:lang w:val="bg-BG"/>
        </w:rPr>
        <w:t>ъмплайънс</w:t>
      </w:r>
      <w:r w:rsidR="00FE3B3F">
        <w:rPr>
          <w:lang w:val="bg-BG"/>
        </w:rPr>
        <w:t xml:space="preserve">, </w:t>
      </w:r>
      <w:r w:rsidR="00FE3B3F" w:rsidRPr="003E62E3">
        <w:rPr>
          <w:b/>
          <w:bCs/>
          <w:color w:val="0000FF"/>
          <w:lang w:val="bg-BG"/>
        </w:rPr>
        <w:t>нисък еластънс</w:t>
      </w:r>
      <w:r w:rsidR="00FE3B3F">
        <w:rPr>
          <w:lang w:val="bg-BG"/>
        </w:rPr>
        <w:t xml:space="preserve">, </w:t>
      </w:r>
      <w:r w:rsidR="00FE3B3F" w:rsidRPr="003E62E3">
        <w:rPr>
          <w:b/>
          <w:bCs/>
          <w:color w:val="0000FF"/>
          <w:lang w:val="bg-BG"/>
        </w:rPr>
        <w:t>нисък вентилационно-перфузионен индекс</w:t>
      </w:r>
      <w:r w:rsidR="00FE3B3F" w:rsidRPr="003E62E3">
        <w:rPr>
          <w:color w:val="0000FF"/>
          <w:lang w:val="bg-BG"/>
        </w:rPr>
        <w:t xml:space="preserve"> </w:t>
      </w:r>
      <w:r w:rsidR="00FE3B3F">
        <w:rPr>
          <w:lang w:val="bg-BG"/>
        </w:rPr>
        <w:t xml:space="preserve">(в норма би трябвало да бъде: </w:t>
      </w:r>
      <w:r w:rsidR="00FE3B3F" w:rsidRPr="00FE3B3F">
        <w:rPr>
          <w:lang w:val="bg-BG"/>
        </w:rPr>
        <w:t>V/Q Ratio</w:t>
      </w:r>
      <w:r w:rsidR="00FE3B3F">
        <w:rPr>
          <w:lang w:val="bg-BG"/>
        </w:rPr>
        <w:t>,</w:t>
      </w:r>
      <w:r w:rsidR="00FE3B3F" w:rsidRPr="00FE3B3F">
        <w:rPr>
          <w:lang w:val="bg-BG"/>
        </w:rPr>
        <w:t xml:space="preserve"> Ventilation/Perfusion</w:t>
      </w:r>
      <w:r w:rsidR="00FE3B3F">
        <w:rPr>
          <w:lang w:val="bg-BG"/>
        </w:rPr>
        <w:t xml:space="preserve"> </w:t>
      </w:r>
      <w:r w:rsidR="00FE3B3F" w:rsidRPr="00FE3B3F">
        <w:rPr>
          <w:lang w:val="bg-BG"/>
        </w:rPr>
        <w:t>=</w:t>
      </w:r>
      <w:r w:rsidR="00FE3B3F">
        <w:rPr>
          <w:lang w:val="bg-BG"/>
        </w:rPr>
        <w:t xml:space="preserve"> </w:t>
      </w:r>
      <w:r w:rsidR="00FE3B3F" w:rsidRPr="00FE3B3F">
        <w:rPr>
          <w:lang w:val="bg-BG"/>
        </w:rPr>
        <w:t>4L/min:5L/min)</w:t>
      </w:r>
      <w:r w:rsidR="00FE3B3F">
        <w:rPr>
          <w:lang w:val="bg-BG"/>
        </w:rPr>
        <w:t xml:space="preserve">, </w:t>
      </w:r>
      <w:r w:rsidR="00FE3B3F" w:rsidRPr="003E62E3">
        <w:rPr>
          <w:b/>
          <w:bCs/>
          <w:color w:val="0000FF"/>
          <w:lang w:val="bg-BG"/>
        </w:rPr>
        <w:t>ниско</w:t>
      </w:r>
      <w:r w:rsidR="00FE3B3F" w:rsidRPr="003E62E3">
        <w:rPr>
          <w:color w:val="0000FF"/>
          <w:lang w:val="bg-BG"/>
        </w:rPr>
        <w:t xml:space="preserve"> </w:t>
      </w:r>
      <w:r w:rsidR="00FE3B3F" w:rsidRPr="003E62E3">
        <w:rPr>
          <w:b/>
          <w:bCs/>
          <w:color w:val="0000FF"/>
          <w:lang w:val="bg-BG"/>
        </w:rPr>
        <w:t>белодробно тегло</w:t>
      </w:r>
      <w:r w:rsidR="00FE3B3F">
        <w:rPr>
          <w:lang w:val="bg-BG"/>
        </w:rPr>
        <w:t xml:space="preserve">, </w:t>
      </w:r>
      <w:r w:rsidR="008915A2">
        <w:rPr>
          <w:lang w:val="bg-BG"/>
        </w:rPr>
        <w:t xml:space="preserve">и </w:t>
      </w:r>
      <w:r w:rsidR="008915A2" w:rsidRPr="003E62E3">
        <w:rPr>
          <w:b/>
          <w:bCs/>
          <w:color w:val="0000FF"/>
          <w:lang w:val="bg-BG"/>
        </w:rPr>
        <w:t>нис</w:t>
      </w:r>
      <w:r w:rsidR="004B1DB6" w:rsidRPr="003E62E3">
        <w:rPr>
          <w:b/>
          <w:bCs/>
          <w:color w:val="0000FF"/>
          <w:lang w:val="bg-BG"/>
        </w:rPr>
        <w:t>ъ</w:t>
      </w:r>
      <w:r w:rsidR="008915A2" w:rsidRPr="003E62E3">
        <w:rPr>
          <w:b/>
          <w:bCs/>
          <w:color w:val="0000FF"/>
          <w:lang w:val="bg-BG"/>
        </w:rPr>
        <w:t>к рекрут</w:t>
      </w:r>
      <w:r w:rsidR="004B1DB6" w:rsidRPr="003E62E3">
        <w:rPr>
          <w:b/>
          <w:bCs/>
          <w:color w:val="0000FF"/>
          <w:lang w:val="bg-BG"/>
        </w:rPr>
        <w:t>мънт потенциал</w:t>
      </w:r>
      <w:r w:rsidR="008915A2" w:rsidRPr="003E62E3">
        <w:rPr>
          <w:color w:val="0000FF"/>
          <w:lang w:val="bg-BG"/>
        </w:rPr>
        <w:t xml:space="preserve"> </w:t>
      </w:r>
      <w:r w:rsidR="008915A2">
        <w:rPr>
          <w:lang w:val="bg-BG"/>
        </w:rPr>
        <w:t xml:space="preserve">(фенотип </w:t>
      </w:r>
      <w:r w:rsidR="008915A2" w:rsidRPr="00643560">
        <w:rPr>
          <w:b/>
          <w:bCs/>
        </w:rPr>
        <w:t>Type L</w:t>
      </w:r>
      <w:r w:rsidR="008915A2">
        <w:t xml:space="preserve"> </w:t>
      </w:r>
      <w:r w:rsidR="004B1DB6">
        <w:rPr>
          <w:lang w:val="bg-BG"/>
        </w:rPr>
        <w:t>по Гатиноли</w:t>
      </w:r>
      <w:r w:rsidR="008915A2">
        <w:t>)</w:t>
      </w:r>
      <w:r w:rsidR="004B1DB6">
        <w:rPr>
          <w:lang w:val="bg-BG"/>
        </w:rPr>
        <w:t>.</w:t>
      </w:r>
    </w:p>
    <w:p w14:paraId="49445160" w14:textId="1FA41294" w:rsidR="004B1DB6" w:rsidRPr="003E62E3" w:rsidRDefault="004B1DB6" w:rsidP="003E62E3">
      <w:pPr>
        <w:pStyle w:val="ListParagraph"/>
        <w:numPr>
          <w:ilvl w:val="0"/>
          <w:numId w:val="14"/>
        </w:numPr>
        <w:rPr>
          <w:lang w:val="bg-BG"/>
        </w:rPr>
      </w:pPr>
      <w:r w:rsidRPr="003E62E3">
        <w:rPr>
          <w:lang w:val="bg-BG"/>
        </w:rPr>
        <w:t xml:space="preserve">В други случаи - при постъпване в реанимация от приемно-спешно отделение, пациентите са в критично състояние и презентират с по-близка до </w:t>
      </w:r>
      <w:r>
        <w:t>ARDS</w:t>
      </w:r>
      <w:r w:rsidRPr="003E62E3">
        <w:rPr>
          <w:lang w:val="bg-BG"/>
        </w:rPr>
        <w:t xml:space="preserve"> клинична картина, т.е. с </w:t>
      </w:r>
      <w:r w:rsidRPr="00643560">
        <w:rPr>
          <w:b/>
          <w:bCs/>
          <w:color w:val="C00000"/>
          <w:lang w:val="bg-BG"/>
        </w:rPr>
        <w:t>висок еластънс</w:t>
      </w:r>
      <w:r w:rsidRPr="003E62E3">
        <w:rPr>
          <w:lang w:val="bg-BG"/>
        </w:rPr>
        <w:t xml:space="preserve">, </w:t>
      </w:r>
      <w:r w:rsidR="003E62E3" w:rsidRPr="00643560">
        <w:rPr>
          <w:b/>
          <w:bCs/>
          <w:color w:val="C00000"/>
          <w:lang w:val="bg-BG"/>
        </w:rPr>
        <w:t>висок дясно-ляв шънт</w:t>
      </w:r>
      <w:r w:rsidR="003E62E3" w:rsidRPr="003E62E3">
        <w:rPr>
          <w:lang w:val="bg-BG"/>
        </w:rPr>
        <w:t xml:space="preserve">, </w:t>
      </w:r>
      <w:r w:rsidR="003E62E3" w:rsidRPr="00643560">
        <w:rPr>
          <w:b/>
          <w:bCs/>
          <w:color w:val="C00000"/>
          <w:lang w:val="bg-BG"/>
        </w:rPr>
        <w:t>високо белодробно тегло</w:t>
      </w:r>
      <w:r w:rsidR="003E62E3" w:rsidRPr="003E62E3">
        <w:rPr>
          <w:lang w:val="bg-BG"/>
        </w:rPr>
        <w:t xml:space="preserve">, и </w:t>
      </w:r>
      <w:r w:rsidR="003E62E3" w:rsidRPr="00643560">
        <w:rPr>
          <w:b/>
          <w:bCs/>
          <w:color w:val="C00000"/>
          <w:lang w:val="bg-BG"/>
        </w:rPr>
        <w:t>висок рекрутмънт потенциал</w:t>
      </w:r>
      <w:r w:rsidR="003E62E3" w:rsidRPr="00643560">
        <w:rPr>
          <w:color w:val="C00000"/>
          <w:lang w:val="bg-BG"/>
        </w:rPr>
        <w:t xml:space="preserve"> </w:t>
      </w:r>
      <w:r w:rsidR="003E62E3" w:rsidRPr="003E62E3">
        <w:rPr>
          <w:lang w:val="bg-BG"/>
        </w:rPr>
        <w:t xml:space="preserve">(фенотип </w:t>
      </w:r>
      <w:r w:rsidR="003E62E3" w:rsidRPr="00643560">
        <w:rPr>
          <w:b/>
          <w:bCs/>
        </w:rPr>
        <w:t>Type H</w:t>
      </w:r>
      <w:r w:rsidR="003E62E3" w:rsidRPr="003E62E3">
        <w:rPr>
          <w:lang w:val="bg-BG"/>
        </w:rPr>
        <w:t xml:space="preserve"> по Гатиноли). </w:t>
      </w:r>
      <w:r w:rsidR="00F714A4">
        <w:rPr>
          <w:lang w:val="bg-BG"/>
        </w:rPr>
        <w:t xml:space="preserve">Пациенти, които са престояли повече време на командно дишане и са влезли в по-типична за </w:t>
      </w:r>
      <w:r w:rsidR="00F714A4">
        <w:t>ARDS</w:t>
      </w:r>
      <w:r w:rsidR="00F714A4">
        <w:rPr>
          <w:lang w:val="bg-BG"/>
        </w:rPr>
        <w:t xml:space="preserve"> клинична картина с </w:t>
      </w:r>
      <w:r w:rsidR="00F714A4" w:rsidRPr="00643560">
        <w:rPr>
          <w:b/>
          <w:bCs/>
          <w:color w:val="C00000"/>
          <w:lang w:val="bg-BG"/>
        </w:rPr>
        <w:t>нисък къмплайънс</w:t>
      </w:r>
      <w:r w:rsidR="00F714A4" w:rsidRPr="00643560">
        <w:rPr>
          <w:color w:val="C00000"/>
          <w:lang w:val="bg-BG"/>
        </w:rPr>
        <w:t xml:space="preserve"> </w:t>
      </w:r>
      <w:r w:rsidR="00F714A4">
        <w:rPr>
          <w:lang w:val="bg-BG"/>
        </w:rPr>
        <w:t>могат също да презентират в този фенотип Н</w:t>
      </w:r>
      <w:r w:rsidR="00D872A5">
        <w:rPr>
          <w:lang w:val="bg-BG"/>
        </w:rPr>
        <w:t xml:space="preserve">. Други пациенти могат да са някъде по средата между тези два фенотипа с множествени рентгенографски белодробни промени. </w:t>
      </w:r>
    </w:p>
    <w:p w14:paraId="61569FE6" w14:textId="4558F267" w:rsidR="002E5A75" w:rsidRPr="00643560" w:rsidRDefault="00D872A5" w:rsidP="00643560">
      <w:pPr>
        <w:rPr>
          <w:lang w:val="bg-BG"/>
        </w:rPr>
      </w:pPr>
      <w:r w:rsidRPr="00643560">
        <w:rPr>
          <w:lang w:val="bg-BG"/>
        </w:rPr>
        <w:t xml:space="preserve">Преценката към кой фенотип принадлежи пациентът може да оптимизира подхода при избора на реанимационна стратегия. Опитът от началния период на пандемията показа че </w:t>
      </w:r>
      <w:r w:rsidRPr="00643560">
        <w:rPr>
          <w:b/>
          <w:bCs/>
          <w:lang w:val="bg-BG"/>
        </w:rPr>
        <w:t>преживяемостта</w:t>
      </w:r>
      <w:r w:rsidRPr="00643560">
        <w:rPr>
          <w:lang w:val="bg-BG"/>
        </w:rPr>
        <w:t xml:space="preserve"> на пециентите значително </w:t>
      </w:r>
      <w:r w:rsidRPr="00643560">
        <w:rPr>
          <w:b/>
          <w:bCs/>
          <w:lang w:val="bg-BG"/>
        </w:rPr>
        <w:t>спада при интубация</w:t>
      </w:r>
      <w:r w:rsidRPr="00643560">
        <w:rPr>
          <w:lang w:val="bg-BG"/>
        </w:rPr>
        <w:t xml:space="preserve"> и поставяне на механична вентилация, което наложи </w:t>
      </w:r>
      <w:r w:rsidRPr="00643560">
        <w:rPr>
          <w:b/>
          <w:bCs/>
          <w:lang w:val="bg-BG"/>
        </w:rPr>
        <w:t>преосмисляне на подхода</w:t>
      </w:r>
      <w:r w:rsidRPr="00643560">
        <w:rPr>
          <w:lang w:val="bg-BG"/>
        </w:rPr>
        <w:t xml:space="preserve"> и търсене на възможности за подобряване на преживяемостта при пациенти, при които може да се избегне интубацията чрез приложение на по-малко-инвазивна респираторна асистенция като </w:t>
      </w:r>
      <w:r w:rsidRPr="00643560">
        <w:rPr>
          <w:b/>
          <w:bCs/>
          <w:lang w:val="bg-BG"/>
        </w:rPr>
        <w:t>СРАР</w:t>
      </w:r>
      <w:r w:rsidRPr="00643560">
        <w:rPr>
          <w:lang w:val="bg-BG"/>
        </w:rPr>
        <w:t>. В началото подходът беше за ранна интубация, защото механично се копираше протокола прилаган в Китай</w:t>
      </w:r>
      <w:r w:rsidR="009007C7" w:rsidRPr="00643560">
        <w:rPr>
          <w:lang w:val="bg-BG"/>
        </w:rPr>
        <w:t>, по който всеки постъпващ в реанимация с ниска кислородна сатурация е бил интубиран и поставян на механична вентилация в ранна фаза.</w:t>
      </w:r>
    </w:p>
    <w:p w14:paraId="021D9161" w14:textId="0E6A48DA" w:rsidR="009007C7" w:rsidRPr="00CC5144" w:rsidRDefault="009007C7" w:rsidP="00CC5144">
      <w:pPr>
        <w:rPr>
          <w:lang w:val="bg-BG"/>
        </w:rPr>
      </w:pPr>
      <w:r w:rsidRPr="00CC5144">
        <w:rPr>
          <w:lang w:val="bg-BG"/>
        </w:rPr>
        <w:t xml:space="preserve">Сега вече се установява, че </w:t>
      </w:r>
      <w:r w:rsidRPr="00CC5144">
        <w:rPr>
          <w:b/>
          <w:bCs/>
          <w:lang w:val="bg-BG"/>
        </w:rPr>
        <w:t xml:space="preserve">клиничната картина на </w:t>
      </w:r>
      <w:r w:rsidRPr="00CC5144">
        <w:rPr>
          <w:b/>
          <w:bCs/>
        </w:rPr>
        <w:t>COVID-19</w:t>
      </w:r>
      <w:r w:rsidRPr="00CC5144">
        <w:rPr>
          <w:b/>
          <w:bCs/>
          <w:lang w:val="bg-BG"/>
        </w:rPr>
        <w:t xml:space="preserve"> не съответства</w:t>
      </w:r>
      <w:r w:rsidRPr="00CC5144">
        <w:rPr>
          <w:lang w:val="bg-BG"/>
        </w:rPr>
        <w:t xml:space="preserve"> </w:t>
      </w:r>
      <w:r w:rsidRPr="00CC5144">
        <w:rPr>
          <w:b/>
          <w:bCs/>
          <w:lang w:val="bg-BG"/>
        </w:rPr>
        <w:t xml:space="preserve">огледално на типичната клинична картина при </w:t>
      </w:r>
      <w:r w:rsidRPr="00CC5144">
        <w:rPr>
          <w:b/>
          <w:bCs/>
        </w:rPr>
        <w:t>ARDS</w:t>
      </w:r>
      <w:r w:rsidRPr="00CC5144">
        <w:rPr>
          <w:lang w:val="bg-BG"/>
        </w:rPr>
        <w:t xml:space="preserve">, особено в ранните фази на болестта, макар че развитие на </w:t>
      </w:r>
      <w:r>
        <w:t>ARDS</w:t>
      </w:r>
      <w:r w:rsidRPr="00CC5144">
        <w:rPr>
          <w:lang w:val="bg-BG"/>
        </w:rPr>
        <w:t xml:space="preserve"> е напълно възможно и тогава реанимационният протокол за </w:t>
      </w:r>
      <w:r>
        <w:t>ARDS</w:t>
      </w:r>
      <w:r w:rsidRPr="00CC5144">
        <w:rPr>
          <w:lang w:val="bg-BG"/>
        </w:rPr>
        <w:t xml:space="preserve"> би бил приложим и необходим. Автоматичното приложение на </w:t>
      </w:r>
      <w:r>
        <w:t>ARDS</w:t>
      </w:r>
      <w:r w:rsidRPr="00CC5144">
        <w:rPr>
          <w:lang w:val="bg-BG"/>
        </w:rPr>
        <w:t xml:space="preserve"> протоколите обаче при всички с </w:t>
      </w:r>
      <w:r>
        <w:t xml:space="preserve">COVID-19 </w:t>
      </w:r>
      <w:r w:rsidRPr="00CC5144">
        <w:rPr>
          <w:lang w:val="bg-BG"/>
        </w:rPr>
        <w:t xml:space="preserve">не е добра практика. Например, </w:t>
      </w:r>
      <w:r w:rsidRPr="00CC5144">
        <w:rPr>
          <w:b/>
          <w:bCs/>
          <w:lang w:val="bg-BG"/>
        </w:rPr>
        <w:t>при ARDS</w:t>
      </w:r>
      <w:r w:rsidRPr="00CC5144">
        <w:rPr>
          <w:lang w:val="bg-BG"/>
        </w:rPr>
        <w:t xml:space="preserve"> може да се цели приложението на </w:t>
      </w:r>
      <w:r w:rsidR="00C721AD" w:rsidRPr="00CC5144">
        <w:rPr>
          <w:lang w:val="bg-BG"/>
        </w:rPr>
        <w:t>дихателен обем (</w:t>
      </w:r>
      <w:r w:rsidRPr="00CC5144">
        <w:rPr>
          <w:lang w:val="bg-BG"/>
        </w:rPr>
        <w:t>tidal volume</w:t>
      </w:r>
      <w:r w:rsidR="00C721AD" w:rsidRPr="00CC5144">
        <w:rPr>
          <w:lang w:val="bg-BG"/>
        </w:rPr>
        <w:t xml:space="preserve">, </w:t>
      </w:r>
      <w:r w:rsidR="00C721AD" w:rsidRPr="00CC5144">
        <w:rPr>
          <w:b/>
          <w:bCs/>
        </w:rPr>
        <w:t>TV</w:t>
      </w:r>
      <w:r w:rsidR="00C721AD" w:rsidRPr="00CC5144">
        <w:rPr>
          <w:lang w:val="bg-BG"/>
        </w:rPr>
        <w:t xml:space="preserve">) </w:t>
      </w:r>
      <w:r w:rsidR="00C721AD" w:rsidRPr="00CC5144">
        <w:rPr>
          <w:b/>
          <w:bCs/>
          <w:lang w:val="bg-BG"/>
        </w:rPr>
        <w:t xml:space="preserve">не повече от </w:t>
      </w:r>
      <w:r w:rsidRPr="00CC5144">
        <w:rPr>
          <w:b/>
          <w:bCs/>
          <w:lang w:val="bg-BG"/>
        </w:rPr>
        <w:t>6 ml/kg</w:t>
      </w:r>
      <w:r w:rsidRPr="00CC5144">
        <w:rPr>
          <w:lang w:val="bg-BG"/>
        </w:rPr>
        <w:t xml:space="preserve"> </w:t>
      </w:r>
      <w:r w:rsidR="00C721AD" w:rsidRPr="00CC5144">
        <w:rPr>
          <w:lang w:val="bg-BG"/>
        </w:rPr>
        <w:t xml:space="preserve">с цел да се предотврати белодробна травма, но според вече натрупания опит </w:t>
      </w:r>
      <w:r w:rsidR="00C721AD" w:rsidRPr="00CC5144">
        <w:rPr>
          <w:b/>
          <w:bCs/>
          <w:lang w:val="bg-BG"/>
        </w:rPr>
        <w:t xml:space="preserve">повечето от пациентите с </w:t>
      </w:r>
      <w:r w:rsidRPr="00CC5144">
        <w:rPr>
          <w:b/>
          <w:bCs/>
          <w:lang w:val="bg-BG"/>
        </w:rPr>
        <w:t xml:space="preserve">COVID-19 </w:t>
      </w:r>
      <w:r w:rsidR="00C721AD" w:rsidRPr="00CC5144">
        <w:rPr>
          <w:b/>
          <w:bCs/>
          <w:lang w:val="bg-BG"/>
        </w:rPr>
        <w:t>имат висок белодробен къмплайънс</w:t>
      </w:r>
      <w:r w:rsidR="00C721AD" w:rsidRPr="00CC5144">
        <w:rPr>
          <w:lang w:val="bg-BG"/>
        </w:rPr>
        <w:t xml:space="preserve"> при приемането си в клиниката и приложението на </w:t>
      </w:r>
      <w:r w:rsidR="00C721AD" w:rsidRPr="00CC5144">
        <w:rPr>
          <w:b/>
          <w:bCs/>
          <w:lang w:val="bg-BG"/>
        </w:rPr>
        <w:t>нисък дихателен обем при тях би довело до по-изразено алвеоларно колабиране и ателектаза</w:t>
      </w:r>
      <w:r w:rsidR="00C721AD" w:rsidRPr="00CC5144">
        <w:rPr>
          <w:lang w:val="bg-BG"/>
        </w:rPr>
        <w:t xml:space="preserve"> и от там до влошена оксигенация и вентилация.</w:t>
      </w:r>
    </w:p>
    <w:p w14:paraId="7A826778" w14:textId="47507947" w:rsidR="009007C7" w:rsidRDefault="00C721AD" w:rsidP="00CC5144">
      <w:pPr>
        <w:rPr>
          <w:lang w:val="bg-BG"/>
        </w:rPr>
      </w:pPr>
      <w:r w:rsidRPr="00CC5144">
        <w:rPr>
          <w:lang w:val="bg-BG"/>
        </w:rPr>
        <w:t xml:space="preserve">По същата логика, приложението на много </w:t>
      </w:r>
      <w:r w:rsidRPr="00CC5144">
        <w:rPr>
          <w:b/>
          <w:bCs/>
          <w:lang w:val="bg-BG"/>
        </w:rPr>
        <w:t xml:space="preserve">високи стойности на </w:t>
      </w:r>
      <w:r w:rsidR="009007C7" w:rsidRPr="00CC5144">
        <w:rPr>
          <w:b/>
          <w:bCs/>
          <w:lang w:val="bg-BG"/>
        </w:rPr>
        <w:t>PEEP (&gt;15 cmH2O)</w:t>
      </w:r>
      <w:r w:rsidRPr="00CC5144">
        <w:rPr>
          <w:lang w:val="bg-BG"/>
        </w:rPr>
        <w:t xml:space="preserve"> може да </w:t>
      </w:r>
      <w:r w:rsidRPr="00CC5144">
        <w:rPr>
          <w:b/>
          <w:bCs/>
          <w:lang w:val="bg-BG"/>
        </w:rPr>
        <w:t>не се налага в ранна фаза при болните с</w:t>
      </w:r>
      <w:r w:rsidR="009007C7" w:rsidRPr="00CC5144">
        <w:rPr>
          <w:b/>
          <w:bCs/>
          <w:lang w:val="bg-BG"/>
        </w:rPr>
        <w:t xml:space="preserve"> COVID-19</w:t>
      </w:r>
      <w:r w:rsidRPr="00CC5144">
        <w:rPr>
          <w:lang w:val="bg-BG"/>
        </w:rPr>
        <w:t xml:space="preserve"> защото би причинило </w:t>
      </w:r>
      <w:r w:rsidR="001118CB" w:rsidRPr="00450F07">
        <w:rPr>
          <w:b/>
          <w:bCs/>
          <w:lang w:val="bg-BG"/>
        </w:rPr>
        <w:t>повече вреда от колкото полза</w:t>
      </w:r>
      <w:r w:rsidR="001118CB" w:rsidRPr="00CC5144">
        <w:rPr>
          <w:lang w:val="bg-BG"/>
        </w:rPr>
        <w:t xml:space="preserve"> поради белодробна травма и хемодинамична нестабилност. </w:t>
      </w:r>
    </w:p>
    <w:p w14:paraId="75497806" w14:textId="6239EB4F" w:rsidR="00124A52" w:rsidRDefault="00D72AC3" w:rsidP="00CC5144">
      <w:pPr>
        <w:rPr>
          <w:lang w:val="bg-BG"/>
        </w:rPr>
      </w:pPr>
      <w:r w:rsidRPr="00D72AC3">
        <w:rPr>
          <w:lang w:val="bg-BG"/>
        </w:rPr>
        <w:lastRenderedPageBreak/>
        <w:t xml:space="preserve">Макар че обикновено се прилага поставяне в </w:t>
      </w:r>
      <w:r w:rsidRPr="00D72AC3">
        <w:rPr>
          <w:b/>
          <w:bCs/>
          <w:lang w:val="bg-BG"/>
        </w:rPr>
        <w:t>пронирана позиция</w:t>
      </w:r>
      <w:r w:rsidRPr="00D72AC3">
        <w:rPr>
          <w:lang w:val="bg-BG"/>
        </w:rPr>
        <w:t xml:space="preserve"> само при пациенти на механична вентилация, същият метод би могъл да се прилага и при пациенти във фенотипната група </w:t>
      </w:r>
      <w:r w:rsidRPr="00D72AC3">
        <w:rPr>
          <w:b/>
          <w:bCs/>
          <w:lang w:val="bg-BG"/>
        </w:rPr>
        <w:t>Type L</w:t>
      </w:r>
      <w:r w:rsidRPr="00D72AC3">
        <w:rPr>
          <w:lang w:val="bg-BG"/>
        </w:rPr>
        <w:t xml:space="preserve">, които са будни и със спонтанно дишане, тъй като при тях се наблюдава </w:t>
      </w:r>
      <w:r w:rsidRPr="00D72AC3">
        <w:rPr>
          <w:b/>
          <w:bCs/>
          <w:lang w:val="bg-BG"/>
        </w:rPr>
        <w:t>подобряване на оксигенацията</w:t>
      </w:r>
      <w:r w:rsidRPr="00D72AC3">
        <w:rPr>
          <w:lang w:val="bg-BG"/>
        </w:rPr>
        <w:t xml:space="preserve"> когато се самопронират в резултат на </w:t>
      </w:r>
      <w:r w:rsidRPr="00D72AC3">
        <w:rPr>
          <w:b/>
          <w:bCs/>
          <w:lang w:val="bg-BG"/>
        </w:rPr>
        <w:t>подобряване на  VQ - вентилационно-перфузионното съотношение</w:t>
      </w:r>
      <w:r w:rsidRPr="00D72AC3">
        <w:rPr>
          <w:lang w:val="bg-BG"/>
        </w:rPr>
        <w:t xml:space="preserve">. При пациенти на механична вентилация във фенотипната група от </w:t>
      </w:r>
      <w:r w:rsidRPr="00D72AC3">
        <w:rPr>
          <w:b/>
          <w:bCs/>
          <w:lang w:val="bg-BG"/>
        </w:rPr>
        <w:t>Type H</w:t>
      </w:r>
      <w:r w:rsidRPr="00D72AC3">
        <w:rPr>
          <w:lang w:val="bg-BG"/>
        </w:rPr>
        <w:t>, този метод има същия положителен ефект.</w:t>
      </w:r>
    </w:p>
    <w:p w14:paraId="63052F3B" w14:textId="3C0084E2" w:rsidR="00D72AC3" w:rsidRDefault="00D72AC3" w:rsidP="00CC5144">
      <w:pPr>
        <w:rPr>
          <w:lang w:val="bg-BG"/>
        </w:rPr>
      </w:pPr>
      <w:r>
        <w:rPr>
          <w:lang w:val="bg-BG"/>
        </w:rPr>
        <w:t xml:space="preserve">Преценка на </w:t>
      </w:r>
      <w:hyperlink r:id="rId11" w:history="1">
        <w:r w:rsidRPr="00D72AC3">
          <w:rPr>
            <w:rStyle w:val="Hyperlink"/>
            <w:lang w:val="bg-BG"/>
          </w:rPr>
          <w:t>белодробния рекрутмънт потенциал</w:t>
        </w:r>
      </w:hyperlink>
    </w:p>
    <w:p w14:paraId="29626715" w14:textId="07F47604" w:rsidR="00124A52" w:rsidRPr="00124A52" w:rsidRDefault="00D72AC3" w:rsidP="00124A52">
      <w:pPr>
        <w:rPr>
          <w:lang w:val="bg-BG"/>
        </w:rPr>
      </w:pPr>
      <w:r>
        <w:rPr>
          <w:lang w:val="bg-BG"/>
        </w:rPr>
        <w:t xml:space="preserve">Трябва да се отчете, че </w:t>
      </w:r>
      <w:r w:rsidRPr="00D41EE2">
        <w:rPr>
          <w:b/>
          <w:bCs/>
          <w:lang w:val="bg-BG"/>
        </w:rPr>
        <w:t>процентът от белия дроб, който има рекрутмънт потенциал</w:t>
      </w:r>
      <w:r>
        <w:rPr>
          <w:lang w:val="bg-BG"/>
        </w:rPr>
        <w:t xml:space="preserve"> е важен елемент от подбора на реанимационна стратегия. Този процент </w:t>
      </w:r>
      <w:r w:rsidRPr="00D41EE2">
        <w:rPr>
          <w:b/>
          <w:bCs/>
          <w:lang w:val="bg-BG"/>
        </w:rPr>
        <w:t>варира</w:t>
      </w:r>
      <w:r>
        <w:rPr>
          <w:lang w:val="bg-BG"/>
        </w:rPr>
        <w:t xml:space="preserve"> в широки граници при пациенти с класическата картина на </w:t>
      </w:r>
      <w:r w:rsidR="00124A52" w:rsidRPr="00D41EE2">
        <w:rPr>
          <w:b/>
          <w:bCs/>
          <w:lang w:val="bg-BG"/>
        </w:rPr>
        <w:t>ARDS</w:t>
      </w:r>
      <w:r>
        <w:rPr>
          <w:lang w:val="bg-BG"/>
        </w:rPr>
        <w:t xml:space="preserve">. </w:t>
      </w:r>
      <w:r w:rsidRPr="00D41EE2">
        <w:rPr>
          <w:b/>
          <w:bCs/>
          <w:lang w:val="bg-BG"/>
        </w:rPr>
        <w:t>Зоните на колабирали и консолидирани алвеоли в най-ниските части на белия дроб (</w:t>
      </w:r>
      <w:r w:rsidR="00124A52" w:rsidRPr="00D41EE2">
        <w:rPr>
          <w:b/>
          <w:bCs/>
          <w:lang w:val="bg-BG"/>
        </w:rPr>
        <w:t>most dependent lung</w:t>
      </w:r>
      <w:r w:rsidRPr="00D41EE2">
        <w:rPr>
          <w:b/>
          <w:bCs/>
          <w:lang w:val="bg-BG"/>
        </w:rPr>
        <w:t xml:space="preserve">) често изискват налягане </w:t>
      </w:r>
      <w:r w:rsidR="00A8053E" w:rsidRPr="00D41EE2">
        <w:rPr>
          <w:b/>
          <w:bCs/>
          <w:lang w:val="bg-BG"/>
        </w:rPr>
        <w:t>за</w:t>
      </w:r>
      <w:r w:rsidRPr="00D41EE2">
        <w:rPr>
          <w:b/>
          <w:bCs/>
          <w:lang w:val="bg-BG"/>
        </w:rPr>
        <w:t xml:space="preserve"> </w:t>
      </w:r>
      <w:r w:rsidR="00A8053E" w:rsidRPr="00D41EE2">
        <w:rPr>
          <w:b/>
          <w:bCs/>
          <w:lang w:val="bg-BG"/>
        </w:rPr>
        <w:t>разгъването</w:t>
      </w:r>
      <w:r w:rsidRPr="00D41EE2">
        <w:rPr>
          <w:b/>
          <w:bCs/>
          <w:lang w:val="bg-BG"/>
        </w:rPr>
        <w:t xml:space="preserve"> </w:t>
      </w:r>
      <w:r w:rsidR="00A8053E" w:rsidRPr="00D41EE2">
        <w:rPr>
          <w:b/>
          <w:bCs/>
          <w:lang w:val="bg-BG"/>
        </w:rPr>
        <w:t>им</w:t>
      </w:r>
      <w:r w:rsidR="00A8053E">
        <w:rPr>
          <w:lang w:val="bg-BG"/>
        </w:rPr>
        <w:t xml:space="preserve"> от порядъка на </w:t>
      </w:r>
      <w:r w:rsidR="00124A52" w:rsidRPr="00D41EE2">
        <w:rPr>
          <w:b/>
          <w:bCs/>
          <w:lang w:val="bg-BG"/>
        </w:rPr>
        <w:t>35–40 cmH2O</w:t>
      </w:r>
      <w:r w:rsidR="00124A52" w:rsidRPr="00124A52">
        <w:rPr>
          <w:lang w:val="bg-BG"/>
        </w:rPr>
        <w:t xml:space="preserve"> </w:t>
      </w:r>
      <w:r w:rsidR="00A8053E">
        <w:rPr>
          <w:lang w:val="bg-BG"/>
        </w:rPr>
        <w:t xml:space="preserve">и повече </w:t>
      </w:r>
      <w:r w:rsidR="00A8053E" w:rsidRPr="00D41EE2">
        <w:rPr>
          <w:b/>
          <w:bCs/>
          <w:lang w:val="bg-BG"/>
        </w:rPr>
        <w:t>за да се постигне необходимия рекрутмънт</w:t>
      </w:r>
      <w:r w:rsidR="00A8053E">
        <w:rPr>
          <w:lang w:val="bg-BG"/>
        </w:rPr>
        <w:t xml:space="preserve">. Поради това е </w:t>
      </w:r>
      <w:r w:rsidR="00A8053E" w:rsidRPr="00D41EE2">
        <w:rPr>
          <w:b/>
          <w:bCs/>
          <w:lang w:val="bg-BG"/>
        </w:rPr>
        <w:t>важно да се знае какъв процент от белия дроб има потенциал за рекрутмънт за да може да се установи ефективно РЕЕР</w:t>
      </w:r>
      <w:r w:rsidR="00A8053E">
        <w:rPr>
          <w:lang w:val="bg-BG"/>
        </w:rPr>
        <w:t>. Ако нивото на РЕЕР се въведе на сляпо без тази преценка, може не само да не се постигне желания ефект, но и да се въведат прекалено високи нива на РЕЕР, които не съответстват на рекрутмънт потенциала на белия дроб и да се  нанесе вреда.</w:t>
      </w:r>
    </w:p>
    <w:p w14:paraId="626948C5" w14:textId="3D0EBAEF" w:rsidR="00124A52" w:rsidRPr="00124A52" w:rsidRDefault="00A8053E" w:rsidP="00124A52">
      <w:pPr>
        <w:rPr>
          <w:lang w:val="bg-BG"/>
        </w:rPr>
      </w:pPr>
      <w:r>
        <w:rPr>
          <w:lang w:val="bg-BG"/>
        </w:rPr>
        <w:t>Освен това, преценката на рекрутмънт потенциала преди да се смени позицията на пациента от супинална в пронирана дава възможност да се прогнозира ефекта от такава смяна и да се определи стратегията</w:t>
      </w:r>
      <w:r w:rsidR="00124A52" w:rsidRPr="00124A52">
        <w:rPr>
          <w:lang w:val="bg-BG"/>
        </w:rPr>
        <w:t xml:space="preserve">. </w:t>
      </w:r>
      <w:r w:rsidRPr="00D41EE2">
        <w:rPr>
          <w:b/>
          <w:bCs/>
          <w:lang w:val="bg-BG"/>
        </w:rPr>
        <w:t xml:space="preserve">Ако преценката покаже </w:t>
      </w:r>
      <w:r w:rsidRPr="00D41EE2">
        <w:rPr>
          <w:b/>
          <w:bCs/>
          <w:u w:val="single"/>
          <w:lang w:val="bg-BG"/>
        </w:rPr>
        <w:t>нисък потенциал за рекрутмънт</w:t>
      </w:r>
      <w:r>
        <w:rPr>
          <w:lang w:val="bg-BG"/>
        </w:rPr>
        <w:t xml:space="preserve">, пациентът може да бъде </w:t>
      </w:r>
      <w:r w:rsidRPr="00D41EE2">
        <w:rPr>
          <w:b/>
          <w:bCs/>
          <w:lang w:val="bg-BG"/>
        </w:rPr>
        <w:t xml:space="preserve">поставен </w:t>
      </w:r>
      <w:r w:rsidRPr="00D41EE2">
        <w:rPr>
          <w:b/>
          <w:bCs/>
          <w:u w:val="single"/>
          <w:lang w:val="bg-BG"/>
        </w:rPr>
        <w:t>в пронирана позиция</w:t>
      </w:r>
      <w:r w:rsidRPr="00D41EE2">
        <w:rPr>
          <w:b/>
          <w:bCs/>
          <w:lang w:val="bg-BG"/>
        </w:rPr>
        <w:t xml:space="preserve"> </w:t>
      </w:r>
      <w:r w:rsidR="00D41EE2" w:rsidRPr="00D41EE2">
        <w:rPr>
          <w:b/>
          <w:bCs/>
          <w:lang w:val="bg-BG"/>
        </w:rPr>
        <w:t xml:space="preserve">и да </w:t>
      </w:r>
      <w:r w:rsidR="00D41EE2" w:rsidRPr="00D41EE2">
        <w:rPr>
          <w:b/>
          <w:bCs/>
          <w:u w:val="single"/>
          <w:lang w:val="bg-BG"/>
        </w:rPr>
        <w:t>не се предприема процедура за рекрутмънт</w:t>
      </w:r>
      <w:r w:rsidR="00D41EE2">
        <w:rPr>
          <w:lang w:val="bg-BG"/>
        </w:rPr>
        <w:t xml:space="preserve">. А ако преценката покаже </w:t>
      </w:r>
      <w:r w:rsidR="00D41EE2" w:rsidRPr="00D41EE2">
        <w:rPr>
          <w:b/>
          <w:bCs/>
          <w:u w:val="single"/>
          <w:lang w:val="bg-BG"/>
        </w:rPr>
        <w:t>висок потенциал за рекрутмънт</w:t>
      </w:r>
      <w:r w:rsidR="00D41EE2">
        <w:rPr>
          <w:lang w:val="bg-BG"/>
        </w:rPr>
        <w:t xml:space="preserve">, пациентът </w:t>
      </w:r>
      <w:r w:rsidR="00D41EE2" w:rsidRPr="00D41EE2">
        <w:rPr>
          <w:b/>
          <w:bCs/>
          <w:u w:val="single"/>
          <w:lang w:val="bg-BG"/>
        </w:rPr>
        <w:t>остава в супинална позиция</w:t>
      </w:r>
      <w:r w:rsidR="00D41EE2">
        <w:rPr>
          <w:lang w:val="bg-BG"/>
        </w:rPr>
        <w:t xml:space="preserve"> и се </w:t>
      </w:r>
      <w:r w:rsidR="00D41EE2" w:rsidRPr="00D41EE2">
        <w:rPr>
          <w:b/>
          <w:bCs/>
          <w:u w:val="single"/>
          <w:lang w:val="bg-BG"/>
        </w:rPr>
        <w:t>провежда процедура по рекрутмънт</w:t>
      </w:r>
      <w:r w:rsidR="00D41EE2">
        <w:rPr>
          <w:lang w:val="bg-BG"/>
        </w:rPr>
        <w:t>.</w:t>
      </w:r>
    </w:p>
    <w:p w14:paraId="3CAD6BE5" w14:textId="77777777" w:rsidR="00450F07" w:rsidRDefault="001118CB" w:rsidP="00450F07">
      <w:pPr>
        <w:rPr>
          <w:lang w:val="bg-BG"/>
        </w:rPr>
      </w:pPr>
      <w:r w:rsidRPr="00CC5144">
        <w:rPr>
          <w:lang w:val="bg-BG"/>
        </w:rPr>
        <w:t xml:space="preserve">Друг елемент в реанимационното лечение </w:t>
      </w:r>
      <w:r w:rsidRPr="00450F07">
        <w:rPr>
          <w:b/>
          <w:bCs/>
          <w:lang w:val="bg-BG"/>
        </w:rPr>
        <w:t>при</w:t>
      </w:r>
      <w:r w:rsidRPr="00CC5144">
        <w:rPr>
          <w:lang w:val="bg-BG"/>
        </w:rPr>
        <w:t xml:space="preserve"> </w:t>
      </w:r>
      <w:r w:rsidRPr="00450F07">
        <w:rPr>
          <w:b/>
          <w:bCs/>
          <w:lang w:val="bg-BG"/>
        </w:rPr>
        <w:t>ARDS</w:t>
      </w:r>
      <w:r w:rsidRPr="00CC5144">
        <w:rPr>
          <w:lang w:val="bg-BG"/>
        </w:rPr>
        <w:t xml:space="preserve"> е </w:t>
      </w:r>
      <w:r w:rsidRPr="00450F07">
        <w:rPr>
          <w:b/>
          <w:bCs/>
          <w:lang w:val="bg-BG"/>
        </w:rPr>
        <w:t>ограничението на вливанията</w:t>
      </w:r>
      <w:r w:rsidRPr="00CC5144">
        <w:rPr>
          <w:lang w:val="bg-BG"/>
        </w:rPr>
        <w:t xml:space="preserve">, но при болните с </w:t>
      </w:r>
      <w:r w:rsidR="00450F07" w:rsidRPr="00450F07">
        <w:rPr>
          <w:b/>
          <w:bCs/>
        </w:rPr>
        <w:t>COVID-19</w:t>
      </w:r>
      <w:r w:rsidRPr="00CC5144">
        <w:rPr>
          <w:lang w:val="bg-BG"/>
        </w:rPr>
        <w:t xml:space="preserve"> се наблюдава често развитие на </w:t>
      </w:r>
      <w:r w:rsidRPr="00450F07">
        <w:rPr>
          <w:b/>
          <w:bCs/>
          <w:lang w:val="bg-BG"/>
        </w:rPr>
        <w:t>остра бъбречна недостатъчност</w:t>
      </w:r>
      <w:r w:rsidRPr="00CC5144">
        <w:rPr>
          <w:lang w:val="bg-BG"/>
        </w:rPr>
        <w:t xml:space="preserve"> и необходимост от съответната ренално-заместителна терапия. Етиологията най-вероятно е многофакторна, но рестриктивният подход, който в определени фази е приложим при ARDS, не е от полза в ранните фази на COVID-19.</w:t>
      </w:r>
    </w:p>
    <w:p w14:paraId="39CECE8A" w14:textId="38CE3F78" w:rsidR="001118CB" w:rsidRPr="00450F07" w:rsidRDefault="001118CB" w:rsidP="00450F07">
      <w:pPr>
        <w:rPr>
          <w:lang w:val="bg-BG"/>
        </w:rPr>
      </w:pPr>
      <w:r w:rsidRPr="00450F07">
        <w:rPr>
          <w:lang w:val="bg-BG"/>
        </w:rPr>
        <w:t xml:space="preserve">Основанието за приложението на </w:t>
      </w:r>
      <w:r w:rsidRPr="00450F07">
        <w:rPr>
          <w:b/>
          <w:bCs/>
          <w:lang w:val="bg-BG"/>
        </w:rPr>
        <w:t>CPAP</w:t>
      </w:r>
      <w:r w:rsidRPr="00450F07">
        <w:rPr>
          <w:lang w:val="bg-BG"/>
        </w:rPr>
        <w:t xml:space="preserve"> </w:t>
      </w:r>
      <w:r w:rsidRPr="00450F07">
        <w:rPr>
          <w:b/>
          <w:bCs/>
          <w:lang w:val="bg-BG"/>
        </w:rPr>
        <w:t>за по-продължителен период</w:t>
      </w:r>
      <w:r w:rsidRPr="00450F07">
        <w:rPr>
          <w:lang w:val="bg-BG"/>
        </w:rPr>
        <w:t xml:space="preserve"> от време </w:t>
      </w:r>
      <w:r w:rsidR="00B87389" w:rsidRPr="00450F07">
        <w:rPr>
          <w:lang w:val="bg-BG"/>
        </w:rPr>
        <w:t xml:space="preserve">е, че опитът до сега показва че пациентите поставени на </w:t>
      </w:r>
      <w:r w:rsidRPr="00450F07">
        <w:rPr>
          <w:lang w:val="bg-BG"/>
        </w:rPr>
        <w:t xml:space="preserve">CPAP </w:t>
      </w:r>
      <w:r w:rsidR="00B87389" w:rsidRPr="00450F07">
        <w:rPr>
          <w:lang w:val="bg-BG"/>
        </w:rPr>
        <w:t xml:space="preserve">в ранна фаза и поддържани на </w:t>
      </w:r>
      <w:r w:rsidRPr="00450F07">
        <w:rPr>
          <w:lang w:val="bg-BG"/>
        </w:rPr>
        <w:t>CPAP</w:t>
      </w:r>
      <w:r w:rsidR="00450F07">
        <w:t xml:space="preserve"> </w:t>
      </w:r>
      <w:r w:rsidR="00450F07">
        <w:rPr>
          <w:lang w:val="bg-BG"/>
        </w:rPr>
        <w:t>имат</w:t>
      </w:r>
      <w:r w:rsidR="00B87389" w:rsidRPr="00450F07">
        <w:rPr>
          <w:lang w:val="bg-BG"/>
        </w:rPr>
        <w:t xml:space="preserve"> </w:t>
      </w:r>
      <w:r w:rsidR="00B87389" w:rsidRPr="00450F07">
        <w:rPr>
          <w:b/>
          <w:bCs/>
          <w:lang w:val="bg-BG"/>
        </w:rPr>
        <w:t>по-добро</w:t>
      </w:r>
      <w:r w:rsidR="00B87389" w:rsidRPr="00450F07">
        <w:rPr>
          <w:lang w:val="bg-BG"/>
        </w:rPr>
        <w:t xml:space="preserve"> </w:t>
      </w:r>
      <w:r w:rsidR="00B87389" w:rsidRPr="00450F07">
        <w:rPr>
          <w:b/>
          <w:bCs/>
          <w:lang w:val="bg-BG"/>
        </w:rPr>
        <w:t>развитие</w:t>
      </w:r>
      <w:r w:rsidR="00B87389" w:rsidRPr="00450F07">
        <w:rPr>
          <w:lang w:val="bg-BG"/>
        </w:rPr>
        <w:t xml:space="preserve"> </w:t>
      </w:r>
      <w:r w:rsidR="00B87389" w:rsidRPr="00450F07">
        <w:rPr>
          <w:b/>
          <w:bCs/>
          <w:lang w:val="bg-BG"/>
        </w:rPr>
        <w:t>в сравнение с тези, които биват интубирани в ранна фаза</w:t>
      </w:r>
      <w:r w:rsidRPr="00450F07">
        <w:rPr>
          <w:lang w:val="bg-BG"/>
        </w:rPr>
        <w:t>.</w:t>
      </w:r>
      <w:r w:rsidR="00B87389" w:rsidRPr="00450F07">
        <w:rPr>
          <w:lang w:val="bg-BG"/>
        </w:rPr>
        <w:t xml:space="preserve"> Преживяемостта след интубация е значително по-ниска</w:t>
      </w:r>
      <w:r w:rsidRPr="00450F07">
        <w:rPr>
          <w:lang w:val="bg-BG"/>
        </w:rPr>
        <w:t xml:space="preserve">. </w:t>
      </w:r>
      <w:r w:rsidR="00B87389" w:rsidRPr="00450F07">
        <w:rPr>
          <w:lang w:val="bg-BG"/>
        </w:rPr>
        <w:t xml:space="preserve">Поради това сега се препоръчва приложението на </w:t>
      </w:r>
      <w:r w:rsidRPr="00450F07">
        <w:rPr>
          <w:b/>
          <w:bCs/>
          <w:lang w:val="bg-BG"/>
        </w:rPr>
        <w:t>CPAP</w:t>
      </w:r>
      <w:r w:rsidR="00B87389" w:rsidRPr="00450F07">
        <w:rPr>
          <w:b/>
          <w:bCs/>
          <w:lang w:val="bg-BG"/>
        </w:rPr>
        <w:t xml:space="preserve"> още в началото</w:t>
      </w:r>
      <w:r w:rsidR="00B87389" w:rsidRPr="00450F07">
        <w:rPr>
          <w:lang w:val="bg-BG"/>
        </w:rPr>
        <w:t xml:space="preserve"> на презентацията на пациента</w:t>
      </w:r>
      <w:r w:rsidRPr="00450F07">
        <w:rPr>
          <w:lang w:val="bg-BG"/>
        </w:rPr>
        <w:t>,</w:t>
      </w:r>
      <w:r w:rsidR="00B87389" w:rsidRPr="00450F07">
        <w:rPr>
          <w:lang w:val="bg-BG"/>
        </w:rPr>
        <w:t xml:space="preserve"> макар че този подход би могъл да бъде ограничен поради чисто логистични съображения – напр. </w:t>
      </w:r>
      <w:r w:rsidR="00B87389" w:rsidRPr="00450F07">
        <w:rPr>
          <w:b/>
          <w:bCs/>
          <w:lang w:val="bg-BG"/>
        </w:rPr>
        <w:t>възможността на лечебното заведение да осигури достатъчно и адекватно снабдяване с кислород</w:t>
      </w:r>
      <w:r w:rsidR="00B87389" w:rsidRPr="00450F07">
        <w:rPr>
          <w:lang w:val="bg-BG"/>
        </w:rPr>
        <w:t>, тъй като СРАР консумира значитено повече кислород. Не без значение е и наличието на адекватни стандартни оперативни процедури за пожарна безопасност предвид неотдавнашния инцидент в УМБСНМП „Пирогов“.  Освен това, необходимо е да се осигур</w:t>
      </w:r>
      <w:r w:rsidR="00B02EBE" w:rsidRPr="00450F07">
        <w:rPr>
          <w:lang w:val="bg-BG"/>
        </w:rPr>
        <w:t xml:space="preserve">ят помещения с </w:t>
      </w:r>
      <w:r w:rsidR="00B02EBE" w:rsidRPr="00450F07">
        <w:rPr>
          <w:b/>
          <w:bCs/>
          <w:lang w:val="bg-BG"/>
        </w:rPr>
        <w:t>отрицателно стайно налягане</w:t>
      </w:r>
      <w:r w:rsidR="00B02EBE" w:rsidRPr="00450F07">
        <w:rPr>
          <w:lang w:val="bg-BG"/>
        </w:rPr>
        <w:t xml:space="preserve"> и </w:t>
      </w:r>
      <w:r w:rsidR="00B02EBE" w:rsidRPr="00450F07">
        <w:rPr>
          <w:b/>
          <w:bCs/>
          <w:lang w:val="bg-BG"/>
        </w:rPr>
        <w:t>филтрация</w:t>
      </w:r>
      <w:r w:rsidR="00B02EBE" w:rsidRPr="00450F07">
        <w:rPr>
          <w:lang w:val="bg-BG"/>
        </w:rPr>
        <w:t xml:space="preserve"> предвид риска от аерозолизация на вируса и разпространение на инфекцията в цялото лечебно заведение. За сега е трудно да се прецени дали </w:t>
      </w:r>
      <w:r w:rsidRPr="00450F07">
        <w:rPr>
          <w:lang w:val="bg-BG"/>
        </w:rPr>
        <w:t xml:space="preserve">CPAP </w:t>
      </w:r>
      <w:r w:rsidR="00B02EBE" w:rsidRPr="00450F07">
        <w:rPr>
          <w:lang w:val="bg-BG"/>
        </w:rPr>
        <w:t xml:space="preserve">помага повече от приложението на назална канюла с висок кислороден поток. Това е преценка на лекуващия лекар в зависимост от индивидуалните обстоятелства. При пациенти с </w:t>
      </w:r>
      <w:r w:rsidR="00B02EBE" w:rsidRPr="00450F07">
        <w:rPr>
          <w:b/>
          <w:bCs/>
          <w:lang w:val="bg-BG"/>
        </w:rPr>
        <w:t>висок белодробен къмплайънс</w:t>
      </w:r>
      <w:r w:rsidR="00B02EBE" w:rsidRPr="00450F07">
        <w:rPr>
          <w:lang w:val="bg-BG"/>
        </w:rPr>
        <w:t xml:space="preserve"> поставени</w:t>
      </w:r>
      <w:r w:rsidRPr="00450F07">
        <w:rPr>
          <w:lang w:val="bg-BG"/>
        </w:rPr>
        <w:t xml:space="preserve"> </w:t>
      </w:r>
      <w:r w:rsidR="00B02EBE" w:rsidRPr="00450F07">
        <w:rPr>
          <w:b/>
          <w:bCs/>
          <w:lang w:val="bg-BG"/>
        </w:rPr>
        <w:t xml:space="preserve">на </w:t>
      </w:r>
      <w:r w:rsidRPr="00450F07">
        <w:rPr>
          <w:b/>
          <w:bCs/>
          <w:lang w:val="bg-BG"/>
        </w:rPr>
        <w:t>CPAP</w:t>
      </w:r>
      <w:r w:rsidR="00B02EBE" w:rsidRPr="00450F07">
        <w:rPr>
          <w:lang w:val="bg-BG"/>
        </w:rPr>
        <w:t xml:space="preserve">, съществува </w:t>
      </w:r>
      <w:r w:rsidR="00B02EBE" w:rsidRPr="00450F07">
        <w:rPr>
          <w:b/>
          <w:bCs/>
          <w:lang w:val="bg-BG"/>
        </w:rPr>
        <w:t xml:space="preserve">опасност от </w:t>
      </w:r>
      <w:r w:rsidR="000F5B1F" w:rsidRPr="00450F07">
        <w:rPr>
          <w:b/>
          <w:bCs/>
          <w:lang w:val="bg-BG"/>
        </w:rPr>
        <w:t>белодробна свръхинфлация</w:t>
      </w:r>
      <w:r w:rsidR="000F5B1F" w:rsidRPr="00450F07">
        <w:rPr>
          <w:lang w:val="bg-BG"/>
        </w:rPr>
        <w:t xml:space="preserve">, но от друга страна измерването на белодробния </w:t>
      </w:r>
      <w:r w:rsidR="000F5B1F" w:rsidRPr="00450F07">
        <w:rPr>
          <w:lang w:val="bg-BG"/>
        </w:rPr>
        <w:lastRenderedPageBreak/>
        <w:t>къмплайънс е невъзможно ако пациентът не е интубиран, поради което се препоръчва насочено внимание от страна на лекуващия лекар</w:t>
      </w:r>
      <w:r w:rsidRPr="00450F07">
        <w:rPr>
          <w:lang w:val="bg-BG"/>
        </w:rPr>
        <w:t>.</w:t>
      </w:r>
    </w:p>
    <w:p w14:paraId="67FB624D" w14:textId="5CBD051A" w:rsidR="001118CB" w:rsidRPr="00450F07" w:rsidRDefault="000F5B1F" w:rsidP="00450F07">
      <w:pPr>
        <w:rPr>
          <w:lang w:val="bg-BG"/>
        </w:rPr>
      </w:pPr>
      <w:r w:rsidRPr="00450F07">
        <w:rPr>
          <w:lang w:val="bg-BG"/>
        </w:rPr>
        <w:t xml:space="preserve">За да се прецени кой пациент е показан за съответната реанимационна стратегия, би трябвало първо да се направи </w:t>
      </w:r>
      <w:r w:rsidRPr="00450F07">
        <w:rPr>
          <w:b/>
          <w:bCs/>
          <w:lang w:val="bg-BG"/>
        </w:rPr>
        <w:t>преценка в коя фенотипна група попада</w:t>
      </w:r>
      <w:r w:rsidRPr="00450F07">
        <w:rPr>
          <w:lang w:val="bg-BG"/>
        </w:rPr>
        <w:t xml:space="preserve"> – </w:t>
      </w:r>
      <w:r w:rsidRPr="00450F07">
        <w:rPr>
          <w:b/>
          <w:bCs/>
        </w:rPr>
        <w:t>Type L</w:t>
      </w:r>
      <w:r w:rsidRPr="00450F07">
        <w:rPr>
          <w:lang w:val="bg-BG"/>
        </w:rPr>
        <w:t xml:space="preserve"> или</w:t>
      </w:r>
      <w:r>
        <w:t xml:space="preserve"> </w:t>
      </w:r>
      <w:r w:rsidRPr="00450F07">
        <w:rPr>
          <w:b/>
          <w:bCs/>
        </w:rPr>
        <w:t>Type H</w:t>
      </w:r>
      <w:r w:rsidRPr="00450F07">
        <w:rPr>
          <w:lang w:val="bg-BG"/>
        </w:rPr>
        <w:t xml:space="preserve"> (вж. по-горе). Първоначалната категоризация в едната </w:t>
      </w:r>
      <w:r w:rsidR="00547DE5" w:rsidRPr="00450F07">
        <w:rPr>
          <w:lang w:val="bg-BG"/>
        </w:rPr>
        <w:t xml:space="preserve">фенотипна група не изключва прекатегоризация в другата при влошаване или промяна на клиничната картина. В много случаи, закъснелият преглед в болница след продължителен престой в къщи води до презентация на пациента с тежка белодробна картина и необходимост от незабавен прием в реанимация. Такива пациенти обикновено попадат във фенотипната група </w:t>
      </w:r>
      <w:r w:rsidR="001118CB" w:rsidRPr="00450F07">
        <w:rPr>
          <w:b/>
          <w:bCs/>
          <w:lang w:val="bg-BG"/>
        </w:rPr>
        <w:t>Type H</w:t>
      </w:r>
      <w:r w:rsidR="00547DE5" w:rsidRPr="00450F07">
        <w:rPr>
          <w:lang w:val="bg-BG"/>
        </w:rPr>
        <w:t xml:space="preserve"> по Гатиноли</w:t>
      </w:r>
      <w:r w:rsidR="001118CB" w:rsidRPr="00450F07">
        <w:rPr>
          <w:lang w:val="bg-BG"/>
        </w:rPr>
        <w:t>,</w:t>
      </w:r>
      <w:r w:rsidR="00547DE5" w:rsidRPr="00450F07">
        <w:rPr>
          <w:lang w:val="bg-BG"/>
        </w:rPr>
        <w:t xml:space="preserve"> с </w:t>
      </w:r>
      <w:r w:rsidR="00547DE5" w:rsidRPr="00450F07">
        <w:rPr>
          <w:b/>
          <w:bCs/>
          <w:lang w:val="bg-BG"/>
        </w:rPr>
        <w:t>по изразен възпалителен</w:t>
      </w:r>
      <w:r w:rsidR="00547DE5" w:rsidRPr="00450F07">
        <w:rPr>
          <w:lang w:val="bg-BG"/>
        </w:rPr>
        <w:t xml:space="preserve"> процес, </w:t>
      </w:r>
      <w:r w:rsidR="00547DE5" w:rsidRPr="00450F07">
        <w:rPr>
          <w:b/>
          <w:bCs/>
          <w:lang w:val="bg-BG"/>
        </w:rPr>
        <w:t>висок еластънс</w:t>
      </w:r>
      <w:r w:rsidR="00547DE5" w:rsidRPr="00450F07">
        <w:rPr>
          <w:lang w:val="bg-BG"/>
        </w:rPr>
        <w:t xml:space="preserve"> и </w:t>
      </w:r>
      <w:r w:rsidR="00547DE5" w:rsidRPr="00450F07">
        <w:rPr>
          <w:b/>
          <w:bCs/>
          <w:lang w:val="bg-BG"/>
        </w:rPr>
        <w:t>рекрутмънт потенциал</w:t>
      </w:r>
      <w:r w:rsidR="00547DE5" w:rsidRPr="00450F07">
        <w:rPr>
          <w:lang w:val="bg-BG"/>
        </w:rPr>
        <w:t xml:space="preserve">, и изразена </w:t>
      </w:r>
      <w:r w:rsidR="00547DE5" w:rsidRPr="00450F07">
        <w:rPr>
          <w:b/>
          <w:bCs/>
          <w:lang w:val="bg-BG"/>
        </w:rPr>
        <w:t>консолидация</w:t>
      </w:r>
      <w:r w:rsidR="00547DE5" w:rsidRPr="00450F07">
        <w:rPr>
          <w:lang w:val="bg-BG"/>
        </w:rPr>
        <w:t xml:space="preserve"> на алвеоларния апарат на белите дробове. Това би могло да се дължи на </w:t>
      </w:r>
      <w:r w:rsidR="00547DE5" w:rsidRPr="00450F07">
        <w:rPr>
          <w:b/>
          <w:bCs/>
          <w:lang w:val="bg-BG"/>
        </w:rPr>
        <w:t>вторичен белодробен едем впоследствие на вирусната инфекция</w:t>
      </w:r>
      <w:r w:rsidR="00547DE5" w:rsidRPr="00450F07">
        <w:rPr>
          <w:lang w:val="bg-BG"/>
        </w:rPr>
        <w:t xml:space="preserve">, </w:t>
      </w:r>
      <w:r w:rsidR="00547DE5" w:rsidRPr="00450F07">
        <w:rPr>
          <w:b/>
          <w:bCs/>
          <w:lang w:val="bg-BG"/>
        </w:rPr>
        <w:t xml:space="preserve">или на големите разлики в инспираторно-експираторното налягане </w:t>
      </w:r>
      <w:r w:rsidR="00707FD5" w:rsidRPr="00450F07">
        <w:rPr>
          <w:b/>
          <w:bCs/>
          <w:lang w:val="bg-BG"/>
        </w:rPr>
        <w:t>в резултат на големите дихателни усилия</w:t>
      </w:r>
      <w:r w:rsidR="00707FD5" w:rsidRPr="00450F07">
        <w:rPr>
          <w:lang w:val="bg-BG"/>
        </w:rPr>
        <w:t xml:space="preserve"> на болния. При тези случаи капацитетът за спонтанно дишане вече е изчепран и е необходима вентилация. Категоризацията на тези пациенти не представлява проблем поради изразената клинична картина.</w:t>
      </w:r>
    </w:p>
    <w:p w14:paraId="7CFDDE5D" w14:textId="77777777" w:rsidR="00124A52" w:rsidRDefault="00707FD5" w:rsidP="00124A52">
      <w:pPr>
        <w:rPr>
          <w:lang w:val="bg-BG"/>
        </w:rPr>
      </w:pPr>
      <w:r w:rsidRPr="00450F07">
        <w:rPr>
          <w:lang w:val="bg-BG"/>
        </w:rPr>
        <w:t xml:space="preserve">При други пациенти в резултат на продължителната </w:t>
      </w:r>
      <w:r w:rsidRPr="00450F07">
        <w:rPr>
          <w:b/>
          <w:bCs/>
          <w:lang w:val="bg-BG"/>
        </w:rPr>
        <w:t>пирексия</w:t>
      </w:r>
      <w:r w:rsidRPr="00450F07">
        <w:rPr>
          <w:lang w:val="bg-BG"/>
        </w:rPr>
        <w:t xml:space="preserve">, </w:t>
      </w:r>
      <w:r w:rsidRPr="00450F07">
        <w:rPr>
          <w:b/>
          <w:bCs/>
          <w:lang w:val="bg-BG"/>
        </w:rPr>
        <w:t>хипоксемия</w:t>
      </w:r>
      <w:r w:rsidRPr="00450F07">
        <w:rPr>
          <w:lang w:val="bg-BG"/>
        </w:rPr>
        <w:t xml:space="preserve"> и завишени </w:t>
      </w:r>
      <w:r w:rsidRPr="00450F07">
        <w:rPr>
          <w:b/>
          <w:bCs/>
          <w:lang w:val="bg-BG"/>
        </w:rPr>
        <w:t>метаболитни</w:t>
      </w:r>
      <w:r w:rsidRPr="00450F07">
        <w:rPr>
          <w:lang w:val="bg-BG"/>
        </w:rPr>
        <w:t xml:space="preserve"> потребности, дишането може да бъде придружено с </w:t>
      </w:r>
      <w:r w:rsidRPr="00450F07">
        <w:rPr>
          <w:b/>
          <w:bCs/>
          <w:lang w:val="bg-BG"/>
        </w:rPr>
        <w:t>видими усилия</w:t>
      </w:r>
      <w:r w:rsidRPr="00450F07">
        <w:rPr>
          <w:lang w:val="bg-BG"/>
        </w:rPr>
        <w:t>. Хипоксичните пациенти със запазен външен вид обаче, представляват дилема пред лекаря, който преценява реанимационния подход</w:t>
      </w:r>
      <w:r w:rsidR="001118CB" w:rsidRPr="00450F07">
        <w:rPr>
          <w:lang w:val="bg-BG"/>
        </w:rPr>
        <w:t xml:space="preserve">. </w:t>
      </w:r>
      <w:r w:rsidRPr="00450F07">
        <w:rPr>
          <w:lang w:val="bg-BG"/>
        </w:rPr>
        <w:t xml:space="preserve">Трябва да се реши в каква степен </w:t>
      </w:r>
      <w:r w:rsidR="00315361" w:rsidRPr="00450F07">
        <w:rPr>
          <w:lang w:val="bg-BG"/>
        </w:rPr>
        <w:t xml:space="preserve">са натоварени белите дробове и какви са щетите върху тях, нанесени от големите инспираторно-експираторни амплитуди в дихателното налягане. Докато </w:t>
      </w:r>
      <w:r w:rsidR="00315361" w:rsidRPr="00450F07">
        <w:rPr>
          <w:b/>
          <w:bCs/>
          <w:lang w:val="bg-BG"/>
        </w:rPr>
        <w:t>при естественото дишане</w:t>
      </w:r>
      <w:r w:rsidR="00315361" w:rsidRPr="00450F07">
        <w:rPr>
          <w:lang w:val="bg-BG"/>
        </w:rPr>
        <w:t xml:space="preserve">, при което вдишването става </w:t>
      </w:r>
      <w:r w:rsidR="009B35A1" w:rsidRPr="00450F07">
        <w:rPr>
          <w:lang w:val="bg-BG"/>
        </w:rPr>
        <w:t>чрез</w:t>
      </w:r>
      <w:r w:rsidR="00315361" w:rsidRPr="00450F07">
        <w:rPr>
          <w:lang w:val="bg-BG"/>
        </w:rPr>
        <w:t xml:space="preserve"> </w:t>
      </w:r>
      <w:r w:rsidR="00315361" w:rsidRPr="00450F07">
        <w:rPr>
          <w:b/>
          <w:bCs/>
          <w:lang w:val="bg-BG"/>
        </w:rPr>
        <w:t>отрицателното</w:t>
      </w:r>
      <w:r w:rsidR="00315361" w:rsidRPr="00450F07">
        <w:rPr>
          <w:lang w:val="bg-BG"/>
        </w:rPr>
        <w:t xml:space="preserve"> </w:t>
      </w:r>
      <w:r w:rsidR="00315361" w:rsidRPr="00450F07">
        <w:rPr>
          <w:b/>
          <w:bCs/>
          <w:lang w:val="bg-BG"/>
        </w:rPr>
        <w:t>налягане</w:t>
      </w:r>
      <w:r w:rsidR="00315361" w:rsidRPr="00450F07">
        <w:rPr>
          <w:lang w:val="bg-BG"/>
        </w:rPr>
        <w:t xml:space="preserve"> създадено от диафрагмално-респираторната мускулатура и </w:t>
      </w:r>
      <w:r w:rsidR="00315361" w:rsidRPr="00450F07">
        <w:rPr>
          <w:b/>
          <w:bCs/>
          <w:lang w:val="bg-BG"/>
        </w:rPr>
        <w:t>кислородът се разпределя равномерно</w:t>
      </w:r>
      <w:r w:rsidR="00315361" w:rsidRPr="00450F07">
        <w:rPr>
          <w:lang w:val="bg-BG"/>
        </w:rPr>
        <w:t xml:space="preserve"> в белия дроб,</w:t>
      </w:r>
      <w:r w:rsidR="001118CB" w:rsidRPr="00450F07">
        <w:rPr>
          <w:lang w:val="bg-BG"/>
        </w:rPr>
        <w:t xml:space="preserve"> </w:t>
      </w:r>
      <w:r w:rsidR="00315361" w:rsidRPr="00450F07">
        <w:rPr>
          <w:lang w:val="bg-BG"/>
        </w:rPr>
        <w:t xml:space="preserve">то </w:t>
      </w:r>
      <w:r w:rsidR="00315361" w:rsidRPr="00450F07">
        <w:rPr>
          <w:b/>
          <w:bCs/>
          <w:lang w:val="bg-BG"/>
        </w:rPr>
        <w:t>при механичната вентилация</w:t>
      </w:r>
      <w:r w:rsidR="00315361" w:rsidRPr="00450F07">
        <w:rPr>
          <w:lang w:val="bg-BG"/>
        </w:rPr>
        <w:t xml:space="preserve"> вдишването става поради </w:t>
      </w:r>
      <w:r w:rsidR="00315361" w:rsidRPr="00450F07">
        <w:rPr>
          <w:b/>
          <w:bCs/>
          <w:lang w:val="bg-BG"/>
        </w:rPr>
        <w:t>положителното налягане</w:t>
      </w:r>
      <w:r w:rsidR="00315361" w:rsidRPr="00450F07">
        <w:rPr>
          <w:lang w:val="bg-BG"/>
        </w:rPr>
        <w:t xml:space="preserve"> упражнено върху белия дроб от </w:t>
      </w:r>
      <w:r w:rsidR="00315361" w:rsidRPr="00450F07">
        <w:rPr>
          <w:b/>
          <w:bCs/>
          <w:lang w:val="bg-BG"/>
        </w:rPr>
        <w:t>помпата</w:t>
      </w:r>
      <w:r w:rsidR="00315361" w:rsidRPr="00450F07">
        <w:rPr>
          <w:lang w:val="bg-BG"/>
        </w:rPr>
        <w:t xml:space="preserve"> на вентилатора</w:t>
      </w:r>
      <w:r w:rsidR="009B35A1" w:rsidRPr="00450F07">
        <w:rPr>
          <w:lang w:val="bg-BG"/>
        </w:rPr>
        <w:t>, в резултат на което ниско-разположената част на белия дроб (</w:t>
      </w:r>
      <w:r w:rsidR="001118CB" w:rsidRPr="00450F07">
        <w:rPr>
          <w:b/>
          <w:bCs/>
          <w:lang w:val="bg-BG"/>
        </w:rPr>
        <w:t>non-dependent</w:t>
      </w:r>
      <w:r w:rsidR="009B35A1" w:rsidRPr="00450F07">
        <w:rPr>
          <w:b/>
          <w:bCs/>
          <w:lang w:val="bg-BG"/>
        </w:rPr>
        <w:t>) бива свръх-разгъвана</w:t>
      </w:r>
      <w:r w:rsidR="009B35A1" w:rsidRPr="00450F07">
        <w:rPr>
          <w:lang w:val="bg-BG"/>
        </w:rPr>
        <w:t xml:space="preserve"> докато по-високата част (</w:t>
      </w:r>
      <w:r w:rsidR="001118CB" w:rsidRPr="00124A52">
        <w:rPr>
          <w:b/>
          <w:bCs/>
          <w:lang w:val="bg-BG"/>
        </w:rPr>
        <w:t>dependent</w:t>
      </w:r>
      <w:r w:rsidR="009B35A1" w:rsidRPr="00124A52">
        <w:rPr>
          <w:b/>
          <w:bCs/>
          <w:lang w:val="bg-BG"/>
        </w:rPr>
        <w:t>) постепенно колабира</w:t>
      </w:r>
      <w:r w:rsidR="009B35A1" w:rsidRPr="00450F07">
        <w:rPr>
          <w:lang w:val="bg-BG"/>
        </w:rPr>
        <w:t>.</w:t>
      </w:r>
      <w:r w:rsidR="001118CB" w:rsidRPr="00450F07">
        <w:rPr>
          <w:lang w:val="bg-BG"/>
        </w:rPr>
        <w:t xml:space="preserve"> </w:t>
      </w:r>
      <w:r w:rsidR="009B35A1" w:rsidRPr="00450F07">
        <w:rPr>
          <w:lang w:val="bg-BG"/>
        </w:rPr>
        <w:t xml:space="preserve">Обръщането на болния в </w:t>
      </w:r>
      <w:r w:rsidR="009B35A1" w:rsidRPr="00124A52">
        <w:rPr>
          <w:b/>
          <w:bCs/>
          <w:lang w:val="bg-BG"/>
        </w:rPr>
        <w:t>пронирана позиция</w:t>
      </w:r>
      <w:r w:rsidR="009B35A1" w:rsidRPr="00450F07">
        <w:rPr>
          <w:lang w:val="bg-BG"/>
        </w:rPr>
        <w:t xml:space="preserve"> (по лице) помага за реверсирането на това абнормално разпределение на разгъващия натиск и така намалява леталитета</w:t>
      </w:r>
      <w:r w:rsidR="001118CB" w:rsidRPr="00450F07">
        <w:rPr>
          <w:lang w:val="bg-BG"/>
        </w:rPr>
        <w:t>.</w:t>
      </w:r>
    </w:p>
    <w:p w14:paraId="6199D268" w14:textId="473FFDF1" w:rsidR="009B35A1" w:rsidRPr="00124A52" w:rsidRDefault="00EA6E85" w:rsidP="00124A52">
      <w:pPr>
        <w:rPr>
          <w:lang w:val="bg-BG"/>
        </w:rPr>
      </w:pPr>
      <w:r w:rsidRPr="00124A52">
        <w:rPr>
          <w:b/>
          <w:bCs/>
          <w:lang w:val="bg-BG"/>
        </w:rPr>
        <w:t>Седирането</w:t>
      </w:r>
      <w:r w:rsidRPr="00124A52">
        <w:rPr>
          <w:lang w:val="bg-BG"/>
        </w:rPr>
        <w:t xml:space="preserve"> на пациентите при механична вентилация разширява кръвоносните съдове и намалява артериалното налягане, но така също седира и другите органи, вкл. чревната перисталтика. Липсата на спонтанно естествено дишане и откашляне на бронхиалните секрети, както и възможната аспирация, създават условия за </w:t>
      </w:r>
      <w:r w:rsidRPr="00124A52">
        <w:rPr>
          <w:b/>
          <w:bCs/>
          <w:lang w:val="bg-BG"/>
        </w:rPr>
        <w:t>суперпонирана пневмония</w:t>
      </w:r>
      <w:r w:rsidRPr="00124A52">
        <w:rPr>
          <w:lang w:val="bg-BG"/>
        </w:rPr>
        <w:t>, освен споменатите вентилационни диспропорции.</w:t>
      </w:r>
    </w:p>
    <w:p w14:paraId="0DDF6DA2" w14:textId="6EF3904E" w:rsidR="009B35A1" w:rsidRPr="00124A52" w:rsidRDefault="00EA6E85" w:rsidP="00124A52">
      <w:pPr>
        <w:rPr>
          <w:lang w:val="bg-BG"/>
        </w:rPr>
      </w:pPr>
      <w:r w:rsidRPr="00124A52">
        <w:rPr>
          <w:lang w:val="bg-BG"/>
        </w:rPr>
        <w:t xml:space="preserve">От друга страна обаче, </w:t>
      </w:r>
      <w:r w:rsidRPr="00124A52">
        <w:rPr>
          <w:b/>
          <w:bCs/>
          <w:lang w:val="bg-BG"/>
        </w:rPr>
        <w:t xml:space="preserve">продължителният престой на пациента на </w:t>
      </w:r>
      <w:r w:rsidR="009B35A1" w:rsidRPr="00124A52">
        <w:rPr>
          <w:b/>
          <w:bCs/>
          <w:lang w:val="bg-BG"/>
        </w:rPr>
        <w:t>CPAP</w:t>
      </w:r>
      <w:r w:rsidRPr="00124A52">
        <w:rPr>
          <w:b/>
          <w:bCs/>
          <w:lang w:val="bg-BG"/>
        </w:rPr>
        <w:t xml:space="preserve"> в условията на завишени дихателни усилия</w:t>
      </w:r>
      <w:r w:rsidRPr="00124A52">
        <w:rPr>
          <w:lang w:val="bg-BG"/>
        </w:rPr>
        <w:t>,</w:t>
      </w:r>
      <w:r w:rsidR="009B35A1" w:rsidRPr="00124A52">
        <w:rPr>
          <w:lang w:val="bg-BG"/>
        </w:rPr>
        <w:t xml:space="preserve"> </w:t>
      </w:r>
      <w:r w:rsidRPr="00124A52">
        <w:rPr>
          <w:lang w:val="bg-BG"/>
        </w:rPr>
        <w:t xml:space="preserve">може да доведе до </w:t>
      </w:r>
      <w:r w:rsidRPr="00124A52">
        <w:rPr>
          <w:b/>
          <w:bCs/>
          <w:lang w:val="bg-BG"/>
        </w:rPr>
        <w:t>влошаване</w:t>
      </w:r>
      <w:r w:rsidRPr="00124A52">
        <w:rPr>
          <w:lang w:val="bg-BG"/>
        </w:rPr>
        <w:t xml:space="preserve"> на дихателната функция поради задръстване на белите дробове</w:t>
      </w:r>
      <w:r w:rsidR="00B25CAC" w:rsidRPr="00124A52">
        <w:rPr>
          <w:lang w:val="bg-BG"/>
        </w:rPr>
        <w:t xml:space="preserve"> водещо до още по-големи дихателни усилия. </w:t>
      </w:r>
      <w:r w:rsidR="00B25CAC" w:rsidRPr="00124A52">
        <w:rPr>
          <w:b/>
          <w:bCs/>
          <w:lang w:val="bg-BG"/>
        </w:rPr>
        <w:t>Да се прецени момента, когато трябва да се премине на механична вентилация е колкото важно, толкова и трудно</w:t>
      </w:r>
      <w:r w:rsidR="00B25CAC" w:rsidRPr="00124A52">
        <w:rPr>
          <w:lang w:val="bg-BG"/>
        </w:rPr>
        <w:t xml:space="preserve">, особено на този етап на анализ на едно ново заболяване, за което набирането на клинични данни и опит тепърва предстои. При сегашните условия често е трудно да се прецени до каква степен даден негативен ефект е причинен от самия причинител на заболяването, и до каква степен от самите реанимационни процедури. За сега тази преценка трябва да бъде направена от лекуващия лекар </w:t>
      </w:r>
      <w:r w:rsidR="00B25CAC" w:rsidRPr="00124A52">
        <w:rPr>
          <w:lang w:val="bg-BG"/>
        </w:rPr>
        <w:lastRenderedPageBreak/>
        <w:t>на базата на непосредствените наблюдения на клиничните обстоятелства и реалности, за да се избере възможно най-правилния реанимационен подход.</w:t>
      </w:r>
      <w:r w:rsidR="009B35A1" w:rsidRPr="00124A52">
        <w:rPr>
          <w:lang w:val="bg-BG"/>
        </w:rPr>
        <w:t xml:space="preserve"> </w:t>
      </w:r>
    </w:p>
    <w:p w14:paraId="3B654AA0" w14:textId="145E7F8F" w:rsidR="00624751" w:rsidRPr="00124A52" w:rsidRDefault="00B25CAC" w:rsidP="00124A52">
      <w:pPr>
        <w:rPr>
          <w:lang w:val="bg-BG"/>
        </w:rPr>
      </w:pPr>
      <w:r w:rsidRPr="00124A52">
        <w:rPr>
          <w:lang w:val="bg-BG"/>
        </w:rPr>
        <w:t xml:space="preserve">Друг възможен проблем е свързан с образуването на </w:t>
      </w:r>
      <w:r w:rsidRPr="00124A52">
        <w:rPr>
          <w:b/>
          <w:bCs/>
          <w:lang w:val="bg-BG"/>
        </w:rPr>
        <w:t>микроваскуларни тромби</w:t>
      </w:r>
      <w:r w:rsidRPr="00124A52">
        <w:rPr>
          <w:lang w:val="bg-BG"/>
        </w:rPr>
        <w:t xml:space="preserve"> </w:t>
      </w:r>
      <w:r w:rsidR="00427BB9" w:rsidRPr="00124A52">
        <w:rPr>
          <w:lang w:val="bg-BG"/>
        </w:rPr>
        <w:t xml:space="preserve">в белите дробове, които водят до </w:t>
      </w:r>
      <w:r w:rsidR="00427BB9" w:rsidRPr="00124A52">
        <w:rPr>
          <w:b/>
          <w:bCs/>
          <w:lang w:val="bg-BG"/>
        </w:rPr>
        <w:t>влош</w:t>
      </w:r>
      <w:r w:rsidR="00124A52">
        <w:rPr>
          <w:b/>
          <w:bCs/>
          <w:lang w:val="bg-BG"/>
        </w:rPr>
        <w:t>ена</w:t>
      </w:r>
      <w:r w:rsidR="00427BB9" w:rsidRPr="00124A52">
        <w:rPr>
          <w:b/>
          <w:bCs/>
          <w:lang w:val="bg-BG"/>
        </w:rPr>
        <w:t xml:space="preserve"> оксигенация</w:t>
      </w:r>
      <w:r w:rsidR="00427BB9" w:rsidRPr="00124A52">
        <w:rPr>
          <w:lang w:val="bg-BG"/>
        </w:rPr>
        <w:t xml:space="preserve"> по механизъм, който е много различен от </w:t>
      </w:r>
      <w:r w:rsidR="009B35A1" w:rsidRPr="00124A52">
        <w:rPr>
          <w:lang w:val="bg-BG"/>
        </w:rPr>
        <w:t xml:space="preserve">ARDS. </w:t>
      </w:r>
      <w:r w:rsidR="00427BB9" w:rsidRPr="00124A52">
        <w:rPr>
          <w:lang w:val="bg-BG"/>
        </w:rPr>
        <w:t xml:space="preserve">В това направление също има много различия между </w:t>
      </w:r>
      <w:r w:rsidR="009B35A1" w:rsidRPr="00124A52">
        <w:rPr>
          <w:lang w:val="bg-BG"/>
        </w:rPr>
        <w:t>COVID-19</w:t>
      </w:r>
      <w:r w:rsidR="00427BB9" w:rsidRPr="00124A52">
        <w:rPr>
          <w:lang w:val="bg-BG"/>
        </w:rPr>
        <w:t xml:space="preserve"> и класическата форма на </w:t>
      </w:r>
      <w:r w:rsidR="00427BB9">
        <w:t>ARDS.</w:t>
      </w:r>
      <w:r w:rsidR="00427BB9" w:rsidRPr="00124A52">
        <w:rPr>
          <w:lang w:val="bg-BG"/>
        </w:rPr>
        <w:t xml:space="preserve"> Белодробните микротромби </w:t>
      </w:r>
      <w:r w:rsidR="00427BB9" w:rsidRPr="00124A52">
        <w:rPr>
          <w:b/>
          <w:bCs/>
          <w:lang w:val="bg-BG"/>
        </w:rPr>
        <w:t>променят условията за перфузия</w:t>
      </w:r>
      <w:r w:rsidR="00427BB9" w:rsidRPr="00124A52">
        <w:rPr>
          <w:lang w:val="bg-BG"/>
        </w:rPr>
        <w:t xml:space="preserve"> и справянето с този проблем е още една задача пред реанимационния екип.</w:t>
      </w:r>
      <w:r w:rsidR="00624751" w:rsidRPr="00124A52">
        <w:rPr>
          <w:lang w:val="bg-BG"/>
        </w:rPr>
        <w:t xml:space="preserve"> Вместо конвенционална терапия със стандартни дози </w:t>
      </w:r>
      <w:r w:rsidR="00624751" w:rsidRPr="00124A52">
        <w:rPr>
          <w:b/>
          <w:bCs/>
        </w:rPr>
        <w:t>D</w:t>
      </w:r>
      <w:r w:rsidR="009B35A1" w:rsidRPr="00124A52">
        <w:rPr>
          <w:b/>
          <w:bCs/>
          <w:lang w:val="bg-BG"/>
        </w:rPr>
        <w:t>alteparin</w:t>
      </w:r>
      <w:r w:rsidR="00624751" w:rsidRPr="00124A52">
        <w:rPr>
          <w:lang w:val="bg-BG"/>
        </w:rPr>
        <w:t xml:space="preserve">, се </w:t>
      </w:r>
      <w:r w:rsidR="00624751" w:rsidRPr="00124A52">
        <w:rPr>
          <w:b/>
          <w:bCs/>
          <w:lang w:val="bg-BG"/>
        </w:rPr>
        <w:t>препоръчва удвояване на дозите</w:t>
      </w:r>
      <w:r w:rsidR="00624751" w:rsidRPr="00124A52">
        <w:rPr>
          <w:lang w:val="bg-BG"/>
        </w:rPr>
        <w:t xml:space="preserve"> </w:t>
      </w:r>
      <w:r w:rsidR="00624751" w:rsidRPr="00124A52">
        <w:rPr>
          <w:b/>
          <w:bCs/>
          <w:lang w:val="bg-BG"/>
        </w:rPr>
        <w:t xml:space="preserve">при пациентите с повишени </w:t>
      </w:r>
      <w:r w:rsidR="00624751" w:rsidRPr="00124A52">
        <w:rPr>
          <w:b/>
          <w:bCs/>
        </w:rPr>
        <w:t>D-</w:t>
      </w:r>
      <w:r w:rsidR="00624751" w:rsidRPr="00124A52">
        <w:rPr>
          <w:b/>
          <w:bCs/>
          <w:lang w:val="bg-BG"/>
        </w:rPr>
        <w:t>димери</w:t>
      </w:r>
      <w:r w:rsidR="009B35A1" w:rsidRPr="00124A52">
        <w:rPr>
          <w:lang w:val="bg-BG"/>
        </w:rPr>
        <w:t>.</w:t>
      </w:r>
      <w:r w:rsidR="00624751" w:rsidRPr="00124A52">
        <w:rPr>
          <w:lang w:val="bg-BG"/>
        </w:rPr>
        <w:t xml:space="preserve"> Повечето нямат пулмонарни емболи, но се наблюдава </w:t>
      </w:r>
      <w:r w:rsidR="00624751" w:rsidRPr="00124A52">
        <w:rPr>
          <w:b/>
          <w:bCs/>
          <w:lang w:val="bg-BG"/>
        </w:rPr>
        <w:t>склонност към общо тробмообразуване</w:t>
      </w:r>
      <w:r w:rsidR="00624751" w:rsidRPr="00124A52">
        <w:rPr>
          <w:lang w:val="bg-BG"/>
        </w:rPr>
        <w:t>.</w:t>
      </w:r>
      <w:r w:rsidR="009B35A1" w:rsidRPr="00124A52">
        <w:rPr>
          <w:lang w:val="bg-BG"/>
        </w:rPr>
        <w:t xml:space="preserve"> </w:t>
      </w:r>
    </w:p>
    <w:p w14:paraId="53F075E5" w14:textId="4070D8C1" w:rsidR="009B35A1" w:rsidRPr="00124A52" w:rsidRDefault="00624751" w:rsidP="00124A52">
      <w:pPr>
        <w:rPr>
          <w:lang w:val="bg-BG"/>
        </w:rPr>
      </w:pPr>
      <w:r w:rsidRPr="00124A52">
        <w:rPr>
          <w:lang w:val="bg-BG"/>
        </w:rPr>
        <w:t xml:space="preserve">При малка група пациенти се наблюдава много </w:t>
      </w:r>
      <w:r w:rsidRPr="00124A52">
        <w:rPr>
          <w:b/>
          <w:bCs/>
          <w:lang w:val="bg-BG"/>
        </w:rPr>
        <w:t>висока степен на възпалителните процеси</w:t>
      </w:r>
      <w:r w:rsidRPr="00124A52">
        <w:rPr>
          <w:lang w:val="bg-BG"/>
        </w:rPr>
        <w:t xml:space="preserve"> и е важно да бъдат идентифицирани на време за започване на </w:t>
      </w:r>
      <w:r w:rsidRPr="00124A52">
        <w:rPr>
          <w:b/>
          <w:bCs/>
          <w:lang w:val="bg-BG"/>
        </w:rPr>
        <w:t>проактивна противовъзпалителна</w:t>
      </w:r>
      <w:r w:rsidRPr="00124A52">
        <w:rPr>
          <w:lang w:val="bg-BG"/>
        </w:rPr>
        <w:t xml:space="preserve"> терапия. Такава терапия трябва да бъде внимателно прецизирана и да не се прилага при пациенти извън таи група.</w:t>
      </w:r>
      <w:r w:rsidR="009B35A1" w:rsidRPr="00124A52">
        <w:rPr>
          <w:lang w:val="bg-BG"/>
        </w:rPr>
        <w:t xml:space="preserve"> </w:t>
      </w:r>
      <w:r w:rsidRPr="00124A52">
        <w:rPr>
          <w:lang w:val="bg-BG"/>
        </w:rPr>
        <w:t xml:space="preserve">Следят се нивата на </w:t>
      </w:r>
      <w:r w:rsidRPr="00124A52">
        <w:rPr>
          <w:b/>
          <w:bCs/>
          <w:lang w:val="bg-BG"/>
        </w:rPr>
        <w:t>феритините</w:t>
      </w:r>
      <w:r w:rsidRPr="00124A52">
        <w:rPr>
          <w:lang w:val="bg-BG"/>
        </w:rPr>
        <w:t xml:space="preserve"> и </w:t>
      </w:r>
      <w:r w:rsidRPr="00124A52">
        <w:rPr>
          <w:b/>
          <w:bCs/>
          <w:lang w:val="bg-BG"/>
        </w:rPr>
        <w:t>интерлевкините</w:t>
      </w:r>
      <w:r w:rsidRPr="00124A52">
        <w:rPr>
          <w:lang w:val="bg-BG"/>
        </w:rPr>
        <w:t xml:space="preserve">, </w:t>
      </w:r>
      <w:r w:rsidR="009B35A1" w:rsidRPr="00124A52">
        <w:rPr>
          <w:b/>
          <w:bCs/>
          <w:lang w:val="bg-BG"/>
        </w:rPr>
        <w:t>C-reactive proteins</w:t>
      </w:r>
      <w:r w:rsidRPr="00124A52">
        <w:rPr>
          <w:lang w:val="bg-BG"/>
        </w:rPr>
        <w:t xml:space="preserve">, и други клинични признаци на </w:t>
      </w:r>
      <w:r w:rsidR="00B71166" w:rsidRPr="00124A52">
        <w:rPr>
          <w:lang w:val="bg-BG"/>
        </w:rPr>
        <w:t xml:space="preserve">възпаление за определяне на прага за стартиране на такава терапия. </w:t>
      </w:r>
    </w:p>
    <w:p w14:paraId="57E7AE41" w14:textId="431670AC" w:rsidR="009B35A1" w:rsidRPr="00124A52" w:rsidRDefault="00E22A34" w:rsidP="00124A52">
      <w:pPr>
        <w:rPr>
          <w:lang w:val="bg-BG"/>
        </w:rPr>
      </w:pPr>
      <w:r w:rsidRPr="00124A52">
        <w:rPr>
          <w:lang w:val="bg-BG"/>
        </w:rPr>
        <w:t xml:space="preserve">При определени пациенти, които за сега е невъзможно да бъдат идентифицирани предварително, се наблюдава </w:t>
      </w:r>
      <w:r w:rsidRPr="00124A52">
        <w:rPr>
          <w:b/>
          <w:bCs/>
          <w:lang w:val="bg-BG"/>
        </w:rPr>
        <w:t>склонност към масивен възпалителен отговор</w:t>
      </w:r>
      <w:r w:rsidRPr="00124A52">
        <w:rPr>
          <w:lang w:val="bg-BG"/>
        </w:rPr>
        <w:t xml:space="preserve"> и развитие на </w:t>
      </w:r>
      <w:r w:rsidRPr="00124A52">
        <w:rPr>
          <w:b/>
          <w:bCs/>
          <w:lang w:val="bg-BG"/>
        </w:rPr>
        <w:t>полиорганна недостатъчност</w:t>
      </w:r>
      <w:r w:rsidRPr="00124A52">
        <w:rPr>
          <w:lang w:val="bg-BG"/>
        </w:rPr>
        <w:t xml:space="preserve"> въпреки всички реанимациони и лечебни мерки.  </w:t>
      </w:r>
    </w:p>
    <w:p w14:paraId="07BD4EA0" w14:textId="4EF533D7" w:rsidR="00EA6E85" w:rsidRPr="00124A52" w:rsidRDefault="00E22A34" w:rsidP="00124A52">
      <w:pPr>
        <w:rPr>
          <w:lang w:val="bg-BG"/>
        </w:rPr>
      </w:pPr>
      <w:r w:rsidRPr="00124A52">
        <w:rPr>
          <w:lang w:val="bg-BG"/>
        </w:rPr>
        <w:t xml:space="preserve">В заключение, при лечението на критично болните с </w:t>
      </w:r>
      <w:r>
        <w:t xml:space="preserve">COVID-19 </w:t>
      </w:r>
      <w:r w:rsidR="00EA6E85" w:rsidRPr="00124A52">
        <w:rPr>
          <w:lang w:val="bg-BG"/>
        </w:rPr>
        <w:t xml:space="preserve"> </w:t>
      </w:r>
      <w:r w:rsidRPr="00124A52">
        <w:rPr>
          <w:b/>
          <w:bCs/>
          <w:lang w:val="bg-BG"/>
        </w:rPr>
        <w:t>задължително трябва да се прилага индивидуален подход и реанимационният протокол да се съобразява с индивидуалната патофизиология при конкретния случай</w:t>
      </w:r>
      <w:r w:rsidRPr="00124A52">
        <w:rPr>
          <w:lang w:val="bg-BG"/>
        </w:rPr>
        <w:t xml:space="preserve">. </w:t>
      </w:r>
    </w:p>
    <w:sectPr w:rsidR="00EA6E85" w:rsidRPr="00124A5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A9F6B" w14:textId="77777777" w:rsidR="006B0026" w:rsidRDefault="006B0026" w:rsidP="00080425">
      <w:pPr>
        <w:spacing w:after="0" w:line="240" w:lineRule="auto"/>
      </w:pPr>
      <w:r>
        <w:separator/>
      </w:r>
    </w:p>
  </w:endnote>
  <w:endnote w:type="continuationSeparator" w:id="0">
    <w:p w14:paraId="55DE069B" w14:textId="77777777" w:rsidR="006B0026" w:rsidRDefault="006B0026" w:rsidP="0008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209961"/>
      <w:docPartObj>
        <w:docPartGallery w:val="Page Numbers (Bottom of Page)"/>
        <w:docPartUnique/>
      </w:docPartObj>
    </w:sdtPr>
    <w:sdtEndPr/>
    <w:sdtContent>
      <w:sdt>
        <w:sdtPr>
          <w:id w:val="-1769616900"/>
          <w:docPartObj>
            <w:docPartGallery w:val="Page Numbers (Top of Page)"/>
            <w:docPartUnique/>
          </w:docPartObj>
        </w:sdtPr>
        <w:sdtEndPr/>
        <w:sdtContent>
          <w:p w14:paraId="25812854" w14:textId="5D0B6232" w:rsidR="00E22A34" w:rsidRDefault="00E22A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27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27D1">
              <w:rPr>
                <w:b/>
                <w:bCs/>
                <w:noProof/>
              </w:rPr>
              <w:t>13</w:t>
            </w:r>
            <w:r>
              <w:rPr>
                <w:b/>
                <w:bCs/>
                <w:sz w:val="24"/>
                <w:szCs w:val="24"/>
              </w:rPr>
              <w:fldChar w:fldCharType="end"/>
            </w:r>
          </w:p>
        </w:sdtContent>
      </w:sdt>
    </w:sdtContent>
  </w:sdt>
  <w:p w14:paraId="548DDEF6" w14:textId="77777777" w:rsidR="00E22A34" w:rsidRDefault="00E22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C6204" w14:textId="77777777" w:rsidR="006B0026" w:rsidRDefault="006B0026" w:rsidP="00080425">
      <w:pPr>
        <w:spacing w:after="0" w:line="240" w:lineRule="auto"/>
      </w:pPr>
      <w:r>
        <w:separator/>
      </w:r>
    </w:p>
  </w:footnote>
  <w:footnote w:type="continuationSeparator" w:id="0">
    <w:p w14:paraId="75EBED1E" w14:textId="77777777" w:rsidR="006B0026" w:rsidRDefault="006B0026" w:rsidP="00080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4C6A"/>
    <w:multiLevelType w:val="hybridMultilevel"/>
    <w:tmpl w:val="9D4263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A7316B7"/>
    <w:multiLevelType w:val="hybridMultilevel"/>
    <w:tmpl w:val="84B204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B28325D"/>
    <w:multiLevelType w:val="hybridMultilevel"/>
    <w:tmpl w:val="3D2C0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55DA7"/>
    <w:multiLevelType w:val="hybridMultilevel"/>
    <w:tmpl w:val="5408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64892"/>
    <w:multiLevelType w:val="hybridMultilevel"/>
    <w:tmpl w:val="954AA7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4D93226"/>
    <w:multiLevelType w:val="hybridMultilevel"/>
    <w:tmpl w:val="509CDC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6E07CB8"/>
    <w:multiLevelType w:val="hybridMultilevel"/>
    <w:tmpl w:val="3C528ECA"/>
    <w:lvl w:ilvl="0" w:tplc="373EC2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9F112EA"/>
    <w:multiLevelType w:val="hybridMultilevel"/>
    <w:tmpl w:val="7BC2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71340"/>
    <w:multiLevelType w:val="hybridMultilevel"/>
    <w:tmpl w:val="744ADDE4"/>
    <w:lvl w:ilvl="0" w:tplc="D5EAE9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711A97"/>
    <w:multiLevelType w:val="hybridMultilevel"/>
    <w:tmpl w:val="AF34F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7D6127"/>
    <w:multiLevelType w:val="hybridMultilevel"/>
    <w:tmpl w:val="D6446A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56595772"/>
    <w:multiLevelType w:val="hybridMultilevel"/>
    <w:tmpl w:val="17AEE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E86D68"/>
    <w:multiLevelType w:val="hybridMultilevel"/>
    <w:tmpl w:val="121C3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70ED71A8"/>
    <w:multiLevelType w:val="hybridMultilevel"/>
    <w:tmpl w:val="86C6B8E4"/>
    <w:lvl w:ilvl="0" w:tplc="6534E83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3"/>
  </w:num>
  <w:num w:numId="2">
    <w:abstractNumId w:val="4"/>
  </w:num>
  <w:num w:numId="3">
    <w:abstractNumId w:val="12"/>
  </w:num>
  <w:num w:numId="4">
    <w:abstractNumId w:val="5"/>
  </w:num>
  <w:num w:numId="5">
    <w:abstractNumId w:val="1"/>
  </w:num>
  <w:num w:numId="6">
    <w:abstractNumId w:val="0"/>
  </w:num>
  <w:num w:numId="7">
    <w:abstractNumId w:val="10"/>
  </w:num>
  <w:num w:numId="8">
    <w:abstractNumId w:val="6"/>
  </w:num>
  <w:num w:numId="9">
    <w:abstractNumId w:val="9"/>
  </w:num>
  <w:num w:numId="10">
    <w:abstractNumId w:val="11"/>
  </w:num>
  <w:num w:numId="11">
    <w:abstractNumId w:val="7"/>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E3"/>
    <w:rsid w:val="00080425"/>
    <w:rsid w:val="00080C78"/>
    <w:rsid w:val="000D1E5B"/>
    <w:rsid w:val="000E0198"/>
    <w:rsid w:val="000F5B1F"/>
    <w:rsid w:val="001118CB"/>
    <w:rsid w:val="0011637B"/>
    <w:rsid w:val="00124A52"/>
    <w:rsid w:val="00203597"/>
    <w:rsid w:val="0025721E"/>
    <w:rsid w:val="002748AF"/>
    <w:rsid w:val="002946BE"/>
    <w:rsid w:val="002C66D4"/>
    <w:rsid w:val="002E5A75"/>
    <w:rsid w:val="002E6973"/>
    <w:rsid w:val="002E749B"/>
    <w:rsid w:val="00315361"/>
    <w:rsid w:val="0031653B"/>
    <w:rsid w:val="0032314A"/>
    <w:rsid w:val="00361CDD"/>
    <w:rsid w:val="00371C20"/>
    <w:rsid w:val="003A22F2"/>
    <w:rsid w:val="003E5D06"/>
    <w:rsid w:val="003E62E3"/>
    <w:rsid w:val="0041120B"/>
    <w:rsid w:val="00427BB9"/>
    <w:rsid w:val="00436BAC"/>
    <w:rsid w:val="00450F07"/>
    <w:rsid w:val="00470CBA"/>
    <w:rsid w:val="004B1DB6"/>
    <w:rsid w:val="00512604"/>
    <w:rsid w:val="00547DE5"/>
    <w:rsid w:val="00562DE8"/>
    <w:rsid w:val="00610560"/>
    <w:rsid w:val="00610FDB"/>
    <w:rsid w:val="00624751"/>
    <w:rsid w:val="00637F58"/>
    <w:rsid w:val="00643560"/>
    <w:rsid w:val="00673595"/>
    <w:rsid w:val="006B0026"/>
    <w:rsid w:val="006C077A"/>
    <w:rsid w:val="00701D50"/>
    <w:rsid w:val="0070360B"/>
    <w:rsid w:val="00707FD5"/>
    <w:rsid w:val="00753C88"/>
    <w:rsid w:val="007628E1"/>
    <w:rsid w:val="00811B76"/>
    <w:rsid w:val="0082716A"/>
    <w:rsid w:val="008915A2"/>
    <w:rsid w:val="008E6AB8"/>
    <w:rsid w:val="008F0F17"/>
    <w:rsid w:val="009007C7"/>
    <w:rsid w:val="009074F0"/>
    <w:rsid w:val="009B35A1"/>
    <w:rsid w:val="009C17AB"/>
    <w:rsid w:val="009E27D1"/>
    <w:rsid w:val="00A032DE"/>
    <w:rsid w:val="00A37648"/>
    <w:rsid w:val="00A6715F"/>
    <w:rsid w:val="00A8053E"/>
    <w:rsid w:val="00B02EBE"/>
    <w:rsid w:val="00B14CA1"/>
    <w:rsid w:val="00B25CAC"/>
    <w:rsid w:val="00B4251F"/>
    <w:rsid w:val="00B46E84"/>
    <w:rsid w:val="00B71166"/>
    <w:rsid w:val="00B73E61"/>
    <w:rsid w:val="00B87389"/>
    <w:rsid w:val="00B90621"/>
    <w:rsid w:val="00C14FE3"/>
    <w:rsid w:val="00C47F32"/>
    <w:rsid w:val="00C721AD"/>
    <w:rsid w:val="00C8190C"/>
    <w:rsid w:val="00CA68D6"/>
    <w:rsid w:val="00CA7128"/>
    <w:rsid w:val="00CC5144"/>
    <w:rsid w:val="00CE65E7"/>
    <w:rsid w:val="00D068A3"/>
    <w:rsid w:val="00D41EE2"/>
    <w:rsid w:val="00D72AC3"/>
    <w:rsid w:val="00D872A5"/>
    <w:rsid w:val="00DB3E4D"/>
    <w:rsid w:val="00DC00A9"/>
    <w:rsid w:val="00DC354B"/>
    <w:rsid w:val="00E22A34"/>
    <w:rsid w:val="00E31362"/>
    <w:rsid w:val="00E800D5"/>
    <w:rsid w:val="00EA6E85"/>
    <w:rsid w:val="00EF3136"/>
    <w:rsid w:val="00EF536D"/>
    <w:rsid w:val="00F337FE"/>
    <w:rsid w:val="00F440D8"/>
    <w:rsid w:val="00F714A4"/>
    <w:rsid w:val="00F77090"/>
    <w:rsid w:val="00F81A1A"/>
    <w:rsid w:val="00FE3B3F"/>
    <w:rsid w:val="00FE52B3"/>
    <w:rsid w:val="00FF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31DF"/>
  <w15:chartTrackingRefBased/>
  <w15:docId w15:val="{B69293BC-80E7-4771-BB31-B2ED8088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F32"/>
    <w:pPr>
      <w:ind w:left="720"/>
      <w:contextualSpacing/>
    </w:pPr>
  </w:style>
  <w:style w:type="paragraph" w:styleId="Header">
    <w:name w:val="header"/>
    <w:basedOn w:val="Normal"/>
    <w:link w:val="HeaderChar"/>
    <w:uiPriority w:val="99"/>
    <w:unhideWhenUsed/>
    <w:rsid w:val="00080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425"/>
  </w:style>
  <w:style w:type="paragraph" w:styleId="Footer">
    <w:name w:val="footer"/>
    <w:basedOn w:val="Normal"/>
    <w:link w:val="FooterChar"/>
    <w:uiPriority w:val="99"/>
    <w:unhideWhenUsed/>
    <w:rsid w:val="00080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25"/>
  </w:style>
  <w:style w:type="character" w:styleId="Hyperlink">
    <w:name w:val="Hyperlink"/>
    <w:basedOn w:val="DefaultParagraphFont"/>
    <w:uiPriority w:val="99"/>
    <w:unhideWhenUsed/>
    <w:rsid w:val="00361CDD"/>
    <w:rPr>
      <w:color w:val="0563C1" w:themeColor="hyperlink"/>
      <w:u w:val="single"/>
    </w:rPr>
  </w:style>
  <w:style w:type="character" w:customStyle="1" w:styleId="UnresolvedMention">
    <w:name w:val="Unresolved Mention"/>
    <w:basedOn w:val="DefaultParagraphFont"/>
    <w:uiPriority w:val="99"/>
    <w:semiHidden/>
    <w:unhideWhenUsed/>
    <w:rsid w:val="00361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532">
      <w:bodyDiv w:val="1"/>
      <w:marLeft w:val="0"/>
      <w:marRight w:val="0"/>
      <w:marTop w:val="0"/>
      <w:marBottom w:val="0"/>
      <w:divBdr>
        <w:top w:val="none" w:sz="0" w:space="0" w:color="auto"/>
        <w:left w:val="none" w:sz="0" w:space="0" w:color="auto"/>
        <w:bottom w:val="none" w:sz="0" w:space="0" w:color="auto"/>
        <w:right w:val="none" w:sz="0" w:space="0" w:color="auto"/>
      </w:divBdr>
      <w:divsChild>
        <w:div w:id="796533611">
          <w:marLeft w:val="547"/>
          <w:marRight w:val="0"/>
          <w:marTop w:val="115"/>
          <w:marBottom w:val="0"/>
          <w:divBdr>
            <w:top w:val="none" w:sz="0" w:space="0" w:color="auto"/>
            <w:left w:val="none" w:sz="0" w:space="0" w:color="auto"/>
            <w:bottom w:val="none" w:sz="0" w:space="0" w:color="auto"/>
            <w:right w:val="none" w:sz="0" w:space="0" w:color="auto"/>
          </w:divBdr>
        </w:div>
        <w:div w:id="483005842">
          <w:marLeft w:val="1008"/>
          <w:marRight w:val="0"/>
          <w:marTop w:val="96"/>
          <w:marBottom w:val="0"/>
          <w:divBdr>
            <w:top w:val="none" w:sz="0" w:space="0" w:color="auto"/>
            <w:left w:val="none" w:sz="0" w:space="0" w:color="auto"/>
            <w:bottom w:val="none" w:sz="0" w:space="0" w:color="auto"/>
            <w:right w:val="none" w:sz="0" w:space="0" w:color="auto"/>
          </w:divBdr>
        </w:div>
        <w:div w:id="1577664706">
          <w:marLeft w:val="547"/>
          <w:marRight w:val="0"/>
          <w:marTop w:val="115"/>
          <w:marBottom w:val="0"/>
          <w:divBdr>
            <w:top w:val="none" w:sz="0" w:space="0" w:color="auto"/>
            <w:left w:val="none" w:sz="0" w:space="0" w:color="auto"/>
            <w:bottom w:val="none" w:sz="0" w:space="0" w:color="auto"/>
            <w:right w:val="none" w:sz="0" w:space="0" w:color="auto"/>
          </w:divBdr>
        </w:div>
        <w:div w:id="857818690">
          <w:marLeft w:val="1008"/>
          <w:marRight w:val="0"/>
          <w:marTop w:val="96"/>
          <w:marBottom w:val="0"/>
          <w:divBdr>
            <w:top w:val="none" w:sz="0" w:space="0" w:color="auto"/>
            <w:left w:val="none" w:sz="0" w:space="0" w:color="auto"/>
            <w:bottom w:val="none" w:sz="0" w:space="0" w:color="auto"/>
            <w:right w:val="none" w:sz="0" w:space="0" w:color="auto"/>
          </w:divBdr>
        </w:div>
      </w:divsChild>
    </w:div>
    <w:div w:id="28998553">
      <w:bodyDiv w:val="1"/>
      <w:marLeft w:val="0"/>
      <w:marRight w:val="0"/>
      <w:marTop w:val="0"/>
      <w:marBottom w:val="0"/>
      <w:divBdr>
        <w:top w:val="none" w:sz="0" w:space="0" w:color="auto"/>
        <w:left w:val="none" w:sz="0" w:space="0" w:color="auto"/>
        <w:bottom w:val="none" w:sz="0" w:space="0" w:color="auto"/>
        <w:right w:val="none" w:sz="0" w:space="0" w:color="auto"/>
      </w:divBdr>
    </w:div>
    <w:div w:id="60294931">
      <w:bodyDiv w:val="1"/>
      <w:marLeft w:val="0"/>
      <w:marRight w:val="0"/>
      <w:marTop w:val="0"/>
      <w:marBottom w:val="0"/>
      <w:divBdr>
        <w:top w:val="none" w:sz="0" w:space="0" w:color="auto"/>
        <w:left w:val="none" w:sz="0" w:space="0" w:color="auto"/>
        <w:bottom w:val="none" w:sz="0" w:space="0" w:color="auto"/>
        <w:right w:val="none" w:sz="0" w:space="0" w:color="auto"/>
      </w:divBdr>
      <w:divsChild>
        <w:div w:id="501967589">
          <w:marLeft w:val="1008"/>
          <w:marRight w:val="0"/>
          <w:marTop w:val="82"/>
          <w:marBottom w:val="0"/>
          <w:divBdr>
            <w:top w:val="none" w:sz="0" w:space="0" w:color="auto"/>
            <w:left w:val="none" w:sz="0" w:space="0" w:color="auto"/>
            <w:bottom w:val="none" w:sz="0" w:space="0" w:color="auto"/>
            <w:right w:val="none" w:sz="0" w:space="0" w:color="auto"/>
          </w:divBdr>
        </w:div>
      </w:divsChild>
    </w:div>
    <w:div w:id="449016063">
      <w:bodyDiv w:val="1"/>
      <w:marLeft w:val="0"/>
      <w:marRight w:val="0"/>
      <w:marTop w:val="0"/>
      <w:marBottom w:val="0"/>
      <w:divBdr>
        <w:top w:val="none" w:sz="0" w:space="0" w:color="auto"/>
        <w:left w:val="none" w:sz="0" w:space="0" w:color="auto"/>
        <w:bottom w:val="none" w:sz="0" w:space="0" w:color="auto"/>
        <w:right w:val="none" w:sz="0" w:space="0" w:color="auto"/>
      </w:divBdr>
    </w:div>
    <w:div w:id="593824659">
      <w:bodyDiv w:val="1"/>
      <w:marLeft w:val="0"/>
      <w:marRight w:val="0"/>
      <w:marTop w:val="0"/>
      <w:marBottom w:val="0"/>
      <w:divBdr>
        <w:top w:val="none" w:sz="0" w:space="0" w:color="auto"/>
        <w:left w:val="none" w:sz="0" w:space="0" w:color="auto"/>
        <w:bottom w:val="none" w:sz="0" w:space="0" w:color="auto"/>
        <w:right w:val="none" w:sz="0" w:space="0" w:color="auto"/>
      </w:divBdr>
    </w:div>
    <w:div w:id="894438053">
      <w:bodyDiv w:val="1"/>
      <w:marLeft w:val="0"/>
      <w:marRight w:val="0"/>
      <w:marTop w:val="0"/>
      <w:marBottom w:val="0"/>
      <w:divBdr>
        <w:top w:val="none" w:sz="0" w:space="0" w:color="auto"/>
        <w:left w:val="none" w:sz="0" w:space="0" w:color="auto"/>
        <w:bottom w:val="none" w:sz="0" w:space="0" w:color="auto"/>
        <w:right w:val="none" w:sz="0" w:space="0" w:color="auto"/>
      </w:divBdr>
      <w:divsChild>
        <w:div w:id="1908028333">
          <w:marLeft w:val="907"/>
          <w:marRight w:val="0"/>
          <w:marTop w:val="106"/>
          <w:marBottom w:val="0"/>
          <w:divBdr>
            <w:top w:val="none" w:sz="0" w:space="0" w:color="auto"/>
            <w:left w:val="none" w:sz="0" w:space="0" w:color="auto"/>
            <w:bottom w:val="none" w:sz="0" w:space="0" w:color="auto"/>
            <w:right w:val="none" w:sz="0" w:space="0" w:color="auto"/>
          </w:divBdr>
        </w:div>
        <w:div w:id="1422486310">
          <w:marLeft w:val="907"/>
          <w:marRight w:val="0"/>
          <w:marTop w:val="106"/>
          <w:marBottom w:val="0"/>
          <w:divBdr>
            <w:top w:val="none" w:sz="0" w:space="0" w:color="auto"/>
            <w:left w:val="none" w:sz="0" w:space="0" w:color="auto"/>
            <w:bottom w:val="none" w:sz="0" w:space="0" w:color="auto"/>
            <w:right w:val="none" w:sz="0" w:space="0" w:color="auto"/>
          </w:divBdr>
        </w:div>
      </w:divsChild>
    </w:div>
    <w:div w:id="1077240754">
      <w:bodyDiv w:val="1"/>
      <w:marLeft w:val="0"/>
      <w:marRight w:val="0"/>
      <w:marTop w:val="0"/>
      <w:marBottom w:val="0"/>
      <w:divBdr>
        <w:top w:val="none" w:sz="0" w:space="0" w:color="auto"/>
        <w:left w:val="none" w:sz="0" w:space="0" w:color="auto"/>
        <w:bottom w:val="none" w:sz="0" w:space="0" w:color="auto"/>
        <w:right w:val="none" w:sz="0" w:space="0" w:color="auto"/>
      </w:divBdr>
    </w:div>
    <w:div w:id="109258236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78">
          <w:marLeft w:val="1008"/>
          <w:marRight w:val="0"/>
          <w:marTop w:val="72"/>
          <w:marBottom w:val="0"/>
          <w:divBdr>
            <w:top w:val="none" w:sz="0" w:space="0" w:color="auto"/>
            <w:left w:val="none" w:sz="0" w:space="0" w:color="auto"/>
            <w:bottom w:val="none" w:sz="0" w:space="0" w:color="auto"/>
            <w:right w:val="none" w:sz="0" w:space="0" w:color="auto"/>
          </w:divBdr>
        </w:div>
        <w:div w:id="1964994901">
          <w:marLeft w:val="1440"/>
          <w:marRight w:val="0"/>
          <w:marTop w:val="72"/>
          <w:marBottom w:val="0"/>
          <w:divBdr>
            <w:top w:val="none" w:sz="0" w:space="0" w:color="auto"/>
            <w:left w:val="none" w:sz="0" w:space="0" w:color="auto"/>
            <w:bottom w:val="none" w:sz="0" w:space="0" w:color="auto"/>
            <w:right w:val="none" w:sz="0" w:space="0" w:color="auto"/>
          </w:divBdr>
        </w:div>
        <w:div w:id="159322169">
          <w:marLeft w:val="1440"/>
          <w:marRight w:val="0"/>
          <w:marTop w:val="72"/>
          <w:marBottom w:val="0"/>
          <w:divBdr>
            <w:top w:val="none" w:sz="0" w:space="0" w:color="auto"/>
            <w:left w:val="none" w:sz="0" w:space="0" w:color="auto"/>
            <w:bottom w:val="none" w:sz="0" w:space="0" w:color="auto"/>
            <w:right w:val="none" w:sz="0" w:space="0" w:color="auto"/>
          </w:divBdr>
        </w:div>
        <w:div w:id="743798696">
          <w:marLeft w:val="1008"/>
          <w:marRight w:val="0"/>
          <w:marTop w:val="72"/>
          <w:marBottom w:val="0"/>
          <w:divBdr>
            <w:top w:val="none" w:sz="0" w:space="0" w:color="auto"/>
            <w:left w:val="none" w:sz="0" w:space="0" w:color="auto"/>
            <w:bottom w:val="none" w:sz="0" w:space="0" w:color="auto"/>
            <w:right w:val="none" w:sz="0" w:space="0" w:color="auto"/>
          </w:divBdr>
        </w:div>
        <w:div w:id="1903327814">
          <w:marLeft w:val="1008"/>
          <w:marRight w:val="0"/>
          <w:marTop w:val="72"/>
          <w:marBottom w:val="0"/>
          <w:divBdr>
            <w:top w:val="none" w:sz="0" w:space="0" w:color="auto"/>
            <w:left w:val="none" w:sz="0" w:space="0" w:color="auto"/>
            <w:bottom w:val="none" w:sz="0" w:space="0" w:color="auto"/>
            <w:right w:val="none" w:sz="0" w:space="0" w:color="auto"/>
          </w:divBdr>
        </w:div>
        <w:div w:id="1281958557">
          <w:marLeft w:val="1008"/>
          <w:marRight w:val="0"/>
          <w:marTop w:val="72"/>
          <w:marBottom w:val="0"/>
          <w:divBdr>
            <w:top w:val="none" w:sz="0" w:space="0" w:color="auto"/>
            <w:left w:val="none" w:sz="0" w:space="0" w:color="auto"/>
            <w:bottom w:val="none" w:sz="0" w:space="0" w:color="auto"/>
            <w:right w:val="none" w:sz="0" w:space="0" w:color="auto"/>
          </w:divBdr>
        </w:div>
        <w:div w:id="1320377289">
          <w:marLeft w:val="1440"/>
          <w:marRight w:val="0"/>
          <w:marTop w:val="72"/>
          <w:marBottom w:val="0"/>
          <w:divBdr>
            <w:top w:val="none" w:sz="0" w:space="0" w:color="auto"/>
            <w:left w:val="none" w:sz="0" w:space="0" w:color="auto"/>
            <w:bottom w:val="none" w:sz="0" w:space="0" w:color="auto"/>
            <w:right w:val="none" w:sz="0" w:space="0" w:color="auto"/>
          </w:divBdr>
        </w:div>
        <w:div w:id="1549611445">
          <w:marLeft w:val="1440"/>
          <w:marRight w:val="0"/>
          <w:marTop w:val="72"/>
          <w:marBottom w:val="0"/>
          <w:divBdr>
            <w:top w:val="none" w:sz="0" w:space="0" w:color="auto"/>
            <w:left w:val="none" w:sz="0" w:space="0" w:color="auto"/>
            <w:bottom w:val="none" w:sz="0" w:space="0" w:color="auto"/>
            <w:right w:val="none" w:sz="0" w:space="0" w:color="auto"/>
          </w:divBdr>
        </w:div>
        <w:div w:id="1677027998">
          <w:marLeft w:val="1440"/>
          <w:marRight w:val="0"/>
          <w:marTop w:val="72"/>
          <w:marBottom w:val="0"/>
          <w:divBdr>
            <w:top w:val="none" w:sz="0" w:space="0" w:color="auto"/>
            <w:left w:val="none" w:sz="0" w:space="0" w:color="auto"/>
            <w:bottom w:val="none" w:sz="0" w:space="0" w:color="auto"/>
            <w:right w:val="none" w:sz="0" w:space="0" w:color="auto"/>
          </w:divBdr>
        </w:div>
        <w:div w:id="1739746820">
          <w:marLeft w:val="1440"/>
          <w:marRight w:val="0"/>
          <w:marTop w:val="72"/>
          <w:marBottom w:val="0"/>
          <w:divBdr>
            <w:top w:val="none" w:sz="0" w:space="0" w:color="auto"/>
            <w:left w:val="none" w:sz="0" w:space="0" w:color="auto"/>
            <w:bottom w:val="none" w:sz="0" w:space="0" w:color="auto"/>
            <w:right w:val="none" w:sz="0" w:space="0" w:color="auto"/>
          </w:divBdr>
        </w:div>
        <w:div w:id="713120185">
          <w:marLeft w:val="547"/>
          <w:marRight w:val="0"/>
          <w:marTop w:val="72"/>
          <w:marBottom w:val="0"/>
          <w:divBdr>
            <w:top w:val="none" w:sz="0" w:space="0" w:color="auto"/>
            <w:left w:val="none" w:sz="0" w:space="0" w:color="auto"/>
            <w:bottom w:val="none" w:sz="0" w:space="0" w:color="auto"/>
            <w:right w:val="none" w:sz="0" w:space="0" w:color="auto"/>
          </w:divBdr>
        </w:div>
      </w:divsChild>
    </w:div>
    <w:div w:id="1115366833">
      <w:bodyDiv w:val="1"/>
      <w:marLeft w:val="0"/>
      <w:marRight w:val="0"/>
      <w:marTop w:val="0"/>
      <w:marBottom w:val="0"/>
      <w:divBdr>
        <w:top w:val="none" w:sz="0" w:space="0" w:color="auto"/>
        <w:left w:val="none" w:sz="0" w:space="0" w:color="auto"/>
        <w:bottom w:val="none" w:sz="0" w:space="0" w:color="auto"/>
        <w:right w:val="none" w:sz="0" w:space="0" w:color="auto"/>
      </w:divBdr>
    </w:div>
    <w:div w:id="1150755931">
      <w:bodyDiv w:val="1"/>
      <w:marLeft w:val="0"/>
      <w:marRight w:val="0"/>
      <w:marTop w:val="0"/>
      <w:marBottom w:val="0"/>
      <w:divBdr>
        <w:top w:val="none" w:sz="0" w:space="0" w:color="auto"/>
        <w:left w:val="none" w:sz="0" w:space="0" w:color="auto"/>
        <w:bottom w:val="none" w:sz="0" w:space="0" w:color="auto"/>
        <w:right w:val="none" w:sz="0" w:space="0" w:color="auto"/>
      </w:divBdr>
    </w:div>
    <w:div w:id="1219779909">
      <w:bodyDiv w:val="1"/>
      <w:marLeft w:val="0"/>
      <w:marRight w:val="0"/>
      <w:marTop w:val="0"/>
      <w:marBottom w:val="0"/>
      <w:divBdr>
        <w:top w:val="none" w:sz="0" w:space="0" w:color="auto"/>
        <w:left w:val="none" w:sz="0" w:space="0" w:color="auto"/>
        <w:bottom w:val="none" w:sz="0" w:space="0" w:color="auto"/>
        <w:right w:val="none" w:sz="0" w:space="0" w:color="auto"/>
      </w:divBdr>
      <w:divsChild>
        <w:div w:id="1562984648">
          <w:marLeft w:val="0"/>
          <w:marRight w:val="0"/>
          <w:marTop w:val="0"/>
          <w:marBottom w:val="750"/>
          <w:divBdr>
            <w:top w:val="none" w:sz="0" w:space="0" w:color="auto"/>
            <w:left w:val="none" w:sz="0" w:space="0" w:color="auto"/>
            <w:bottom w:val="none" w:sz="0" w:space="0" w:color="auto"/>
            <w:right w:val="none" w:sz="0" w:space="0" w:color="auto"/>
          </w:divBdr>
        </w:div>
      </w:divsChild>
    </w:div>
    <w:div w:id="1247492994">
      <w:bodyDiv w:val="1"/>
      <w:marLeft w:val="0"/>
      <w:marRight w:val="0"/>
      <w:marTop w:val="0"/>
      <w:marBottom w:val="0"/>
      <w:divBdr>
        <w:top w:val="none" w:sz="0" w:space="0" w:color="auto"/>
        <w:left w:val="none" w:sz="0" w:space="0" w:color="auto"/>
        <w:bottom w:val="none" w:sz="0" w:space="0" w:color="auto"/>
        <w:right w:val="none" w:sz="0" w:space="0" w:color="auto"/>
      </w:divBdr>
    </w:div>
    <w:div w:id="1277178827">
      <w:bodyDiv w:val="1"/>
      <w:marLeft w:val="0"/>
      <w:marRight w:val="0"/>
      <w:marTop w:val="0"/>
      <w:marBottom w:val="0"/>
      <w:divBdr>
        <w:top w:val="none" w:sz="0" w:space="0" w:color="auto"/>
        <w:left w:val="none" w:sz="0" w:space="0" w:color="auto"/>
        <w:bottom w:val="none" w:sz="0" w:space="0" w:color="auto"/>
        <w:right w:val="none" w:sz="0" w:space="0" w:color="auto"/>
      </w:divBdr>
    </w:div>
    <w:div w:id="1431848997">
      <w:bodyDiv w:val="1"/>
      <w:marLeft w:val="0"/>
      <w:marRight w:val="0"/>
      <w:marTop w:val="0"/>
      <w:marBottom w:val="0"/>
      <w:divBdr>
        <w:top w:val="none" w:sz="0" w:space="0" w:color="auto"/>
        <w:left w:val="none" w:sz="0" w:space="0" w:color="auto"/>
        <w:bottom w:val="none" w:sz="0" w:space="0" w:color="auto"/>
        <w:right w:val="none" w:sz="0" w:space="0" w:color="auto"/>
      </w:divBdr>
    </w:div>
    <w:div w:id="1445684880">
      <w:bodyDiv w:val="1"/>
      <w:marLeft w:val="0"/>
      <w:marRight w:val="0"/>
      <w:marTop w:val="0"/>
      <w:marBottom w:val="0"/>
      <w:divBdr>
        <w:top w:val="none" w:sz="0" w:space="0" w:color="auto"/>
        <w:left w:val="none" w:sz="0" w:space="0" w:color="auto"/>
        <w:bottom w:val="none" w:sz="0" w:space="0" w:color="auto"/>
        <w:right w:val="none" w:sz="0" w:space="0" w:color="auto"/>
      </w:divBdr>
      <w:divsChild>
        <w:div w:id="1942912399">
          <w:marLeft w:val="1008"/>
          <w:marRight w:val="0"/>
          <w:marTop w:val="58"/>
          <w:marBottom w:val="0"/>
          <w:divBdr>
            <w:top w:val="none" w:sz="0" w:space="0" w:color="auto"/>
            <w:left w:val="none" w:sz="0" w:space="0" w:color="auto"/>
            <w:bottom w:val="none" w:sz="0" w:space="0" w:color="auto"/>
            <w:right w:val="none" w:sz="0" w:space="0" w:color="auto"/>
          </w:divBdr>
        </w:div>
        <w:div w:id="876544888">
          <w:marLeft w:val="1008"/>
          <w:marRight w:val="0"/>
          <w:marTop w:val="58"/>
          <w:marBottom w:val="0"/>
          <w:divBdr>
            <w:top w:val="none" w:sz="0" w:space="0" w:color="auto"/>
            <w:left w:val="none" w:sz="0" w:space="0" w:color="auto"/>
            <w:bottom w:val="none" w:sz="0" w:space="0" w:color="auto"/>
            <w:right w:val="none" w:sz="0" w:space="0" w:color="auto"/>
          </w:divBdr>
        </w:div>
        <w:div w:id="682781158">
          <w:marLeft w:val="1008"/>
          <w:marRight w:val="0"/>
          <w:marTop w:val="58"/>
          <w:marBottom w:val="0"/>
          <w:divBdr>
            <w:top w:val="none" w:sz="0" w:space="0" w:color="auto"/>
            <w:left w:val="none" w:sz="0" w:space="0" w:color="auto"/>
            <w:bottom w:val="none" w:sz="0" w:space="0" w:color="auto"/>
            <w:right w:val="none" w:sz="0" w:space="0" w:color="auto"/>
          </w:divBdr>
        </w:div>
        <w:div w:id="1129669175">
          <w:marLeft w:val="1008"/>
          <w:marRight w:val="0"/>
          <w:marTop w:val="58"/>
          <w:marBottom w:val="0"/>
          <w:divBdr>
            <w:top w:val="none" w:sz="0" w:space="0" w:color="auto"/>
            <w:left w:val="none" w:sz="0" w:space="0" w:color="auto"/>
            <w:bottom w:val="none" w:sz="0" w:space="0" w:color="auto"/>
            <w:right w:val="none" w:sz="0" w:space="0" w:color="auto"/>
          </w:divBdr>
        </w:div>
        <w:div w:id="724718597">
          <w:marLeft w:val="1008"/>
          <w:marRight w:val="0"/>
          <w:marTop w:val="58"/>
          <w:marBottom w:val="0"/>
          <w:divBdr>
            <w:top w:val="none" w:sz="0" w:space="0" w:color="auto"/>
            <w:left w:val="none" w:sz="0" w:space="0" w:color="auto"/>
            <w:bottom w:val="none" w:sz="0" w:space="0" w:color="auto"/>
            <w:right w:val="none" w:sz="0" w:space="0" w:color="auto"/>
          </w:divBdr>
        </w:div>
        <w:div w:id="1568110592">
          <w:marLeft w:val="1008"/>
          <w:marRight w:val="0"/>
          <w:marTop w:val="58"/>
          <w:marBottom w:val="0"/>
          <w:divBdr>
            <w:top w:val="none" w:sz="0" w:space="0" w:color="auto"/>
            <w:left w:val="none" w:sz="0" w:space="0" w:color="auto"/>
            <w:bottom w:val="none" w:sz="0" w:space="0" w:color="auto"/>
            <w:right w:val="none" w:sz="0" w:space="0" w:color="auto"/>
          </w:divBdr>
        </w:div>
        <w:div w:id="1917939794">
          <w:marLeft w:val="1008"/>
          <w:marRight w:val="0"/>
          <w:marTop w:val="58"/>
          <w:marBottom w:val="0"/>
          <w:divBdr>
            <w:top w:val="none" w:sz="0" w:space="0" w:color="auto"/>
            <w:left w:val="none" w:sz="0" w:space="0" w:color="auto"/>
            <w:bottom w:val="none" w:sz="0" w:space="0" w:color="auto"/>
            <w:right w:val="none" w:sz="0" w:space="0" w:color="auto"/>
          </w:divBdr>
        </w:div>
        <w:div w:id="583150047">
          <w:marLeft w:val="1008"/>
          <w:marRight w:val="0"/>
          <w:marTop w:val="58"/>
          <w:marBottom w:val="0"/>
          <w:divBdr>
            <w:top w:val="none" w:sz="0" w:space="0" w:color="auto"/>
            <w:left w:val="none" w:sz="0" w:space="0" w:color="auto"/>
            <w:bottom w:val="none" w:sz="0" w:space="0" w:color="auto"/>
            <w:right w:val="none" w:sz="0" w:space="0" w:color="auto"/>
          </w:divBdr>
        </w:div>
      </w:divsChild>
    </w:div>
    <w:div w:id="1542670381">
      <w:bodyDiv w:val="1"/>
      <w:marLeft w:val="0"/>
      <w:marRight w:val="0"/>
      <w:marTop w:val="0"/>
      <w:marBottom w:val="0"/>
      <w:divBdr>
        <w:top w:val="none" w:sz="0" w:space="0" w:color="auto"/>
        <w:left w:val="none" w:sz="0" w:space="0" w:color="auto"/>
        <w:bottom w:val="none" w:sz="0" w:space="0" w:color="auto"/>
        <w:right w:val="none" w:sz="0" w:space="0" w:color="auto"/>
      </w:divBdr>
    </w:div>
    <w:div w:id="1700811542">
      <w:bodyDiv w:val="1"/>
      <w:marLeft w:val="0"/>
      <w:marRight w:val="0"/>
      <w:marTop w:val="0"/>
      <w:marBottom w:val="0"/>
      <w:divBdr>
        <w:top w:val="none" w:sz="0" w:space="0" w:color="auto"/>
        <w:left w:val="none" w:sz="0" w:space="0" w:color="auto"/>
        <w:bottom w:val="none" w:sz="0" w:space="0" w:color="auto"/>
        <w:right w:val="none" w:sz="0" w:space="0" w:color="auto"/>
      </w:divBdr>
    </w:div>
    <w:div w:id="1746804892">
      <w:bodyDiv w:val="1"/>
      <w:marLeft w:val="0"/>
      <w:marRight w:val="0"/>
      <w:marTop w:val="0"/>
      <w:marBottom w:val="0"/>
      <w:divBdr>
        <w:top w:val="none" w:sz="0" w:space="0" w:color="auto"/>
        <w:left w:val="none" w:sz="0" w:space="0" w:color="auto"/>
        <w:bottom w:val="none" w:sz="0" w:space="0" w:color="auto"/>
        <w:right w:val="none" w:sz="0" w:space="0" w:color="auto"/>
      </w:divBdr>
    </w:div>
    <w:div w:id="1833981263">
      <w:bodyDiv w:val="1"/>
      <w:marLeft w:val="0"/>
      <w:marRight w:val="0"/>
      <w:marTop w:val="0"/>
      <w:marBottom w:val="0"/>
      <w:divBdr>
        <w:top w:val="none" w:sz="0" w:space="0" w:color="auto"/>
        <w:left w:val="none" w:sz="0" w:space="0" w:color="auto"/>
        <w:bottom w:val="none" w:sz="0" w:space="0" w:color="auto"/>
        <w:right w:val="none" w:sz="0" w:space="0" w:color="auto"/>
      </w:divBdr>
    </w:div>
    <w:div w:id="21149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milton-medical.com/tr/News/Newsletter-articles/Article~2018-08-08~Bedside-tip:-Assessing-lung-recruitability~9219b3c5-9ab1-4b38-8a34-81721ad6461d~.html" TargetMode="External"/><Relationship Id="rId5" Type="http://schemas.openxmlformats.org/officeDocument/2006/relationships/styles" Target="styles.xml"/><Relationship Id="rId10" Type="http://schemas.openxmlformats.org/officeDocument/2006/relationships/hyperlink" Target="https://rdvc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C02A943BE29498E8076556FDF082F" ma:contentTypeVersion="9" ma:contentTypeDescription="Create a new document." ma:contentTypeScope="" ma:versionID="9a7243efe61e6b6c5d0bef45a9fe32b3">
  <xsd:schema xmlns:xsd="http://www.w3.org/2001/XMLSchema" xmlns:xs="http://www.w3.org/2001/XMLSchema" xmlns:p="http://schemas.microsoft.com/office/2006/metadata/properties" xmlns:ns3="9d47ad8e-2f11-46dd-b053-31133656a5e0" targetNamespace="http://schemas.microsoft.com/office/2006/metadata/properties" ma:root="true" ma:fieldsID="530e00d0fd7147d25b46dda65d575550" ns3:_="">
    <xsd:import namespace="9d47ad8e-2f11-46dd-b053-31133656a5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7ad8e-2f11-46dd-b053-31133656a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7485F-C23E-43A9-A583-B194196055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5B789-B7E7-4259-BC8A-2D2CEE4E7D96}">
  <ds:schemaRefs>
    <ds:schemaRef ds:uri="http://schemas.microsoft.com/sharepoint/v3/contenttype/forms"/>
  </ds:schemaRefs>
</ds:datastoreItem>
</file>

<file path=customXml/itemProps3.xml><?xml version="1.0" encoding="utf-8"?>
<ds:datastoreItem xmlns:ds="http://schemas.openxmlformats.org/officeDocument/2006/customXml" ds:itemID="{6817DD8D-3C15-44A0-AEDD-4312D9C27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7ad8e-2f11-46dd-b053-31133656a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5368</Words>
  <Characters>30601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Hitchev</dc:creator>
  <cp:keywords/>
  <dc:description/>
  <cp:lastModifiedBy>x</cp:lastModifiedBy>
  <cp:revision>2</cp:revision>
  <dcterms:created xsi:type="dcterms:W3CDTF">2020-04-24T06:12:00Z</dcterms:created>
  <dcterms:modified xsi:type="dcterms:W3CDTF">2020-04-24T06:12:00Z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0x0101002EFC02A943BE29498E8076556FDF082F</vt:lpwstr>
  </property>
</Properties>
</file>