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bg-BG"/>
        </w:rPr>
        <w:t>П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араграф 1, ал. 2 от Закона за бюджета на НЗОК за 2021г.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</w:pP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Segoe UI Web (Cyrillic);Segoe UI;apple-system;BlinkMacSystemFont;Roboto;Helvetica Neue;sans-serif" w:hAnsi="Segoe UI Web (Cyrillic);Segoe UI;apple-system;BlinkMacSystemFont;Roboto;Helvetica Neue;sans-serif"/>
          <w:b w:val="false"/>
          <w:i w:val="false"/>
          <w:caps w:val="false"/>
          <w:smallCaps w:val="false"/>
          <w:color w:val="201F1E"/>
          <w:spacing w:val="0"/>
          <w:sz w:val="22"/>
          <w:szCs w:val="22"/>
        </w:rPr>
      </w:pP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Неусвоените средства до 30 септември 2021 г. за здравноосигурителни плащания по съответните редове по </w:t>
      </w:r>
      <w:bookmarkStart w:id="0" w:name="x_gmail-ref_27496377"/>
      <w:bookmarkEnd w:id="0"/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чл. 1, ал. 2</w:t>
      </w:r>
      <w:r>
        <w:rPr>
          <w:rFonts w:ascii="Segoe UI Web (Cyrillic);Segoe UI;apple-system;BlinkMacSystemFont;Roboto;Helvetica Neue;sans-serif" w:hAnsi="Segoe UI Web (Cyrillic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 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за медицински и за дентални дейности след осигуряване на финансирането по </w:t>
      </w:r>
      <w:bookmarkStart w:id="1" w:name="x_gmail-ref_27496378"/>
      <w:bookmarkEnd w:id="1"/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§ 9</w:t>
      </w:r>
      <w:r>
        <w:rPr>
          <w:rFonts w:ascii="Segoe UI Web (Cyrillic);Segoe UI;apple-system;BlinkMacSystemFont;Roboto;Helvetica Neue;sans-serif" w:hAnsi="Segoe UI Web (Cyrillic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 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може да се използват за плащания само за медицинските и денталните дейности и медицинските изделия от списъка по групи по </w:t>
      </w:r>
      <w:bookmarkStart w:id="2" w:name="x_gmail-ref_27496379"/>
      <w:bookmarkEnd w:id="2"/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чл. 13, ал. 2, т. 2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предвидимост и устойчивост на бюджета на НЗОК</w:t>
      </w:r>
      <w:r>
        <w:rPr>
          <w:rFonts w:ascii="Segoe UI Web (Cyrillic);Segoe UI;apple-system;BlinkMacSystemFont;Roboto;Helvetica Neue;sans-serif" w:hAnsi="Segoe UI Web (Cyrillic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 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(обн., ДВ, бр. 24 от 2009 г.; изм., бр. 34, 38 и 40 от 2009 г., бр. 9 от 2010 г., бр. 67 от 2011 г., бр. 49 от 2012 г., бр. 48 от 2014 г., бр. 30 и 62 от 2015 г., бр. 44 от 2016 г., бр. 89 от 2017 г., бр. 95 от 2018 г., бр. 17 и 47 от 2019 г. и бр. 19 от 2020 г.) </w:t>
      </w:r>
      <w:r>
        <w:rPr>
          <w:rFonts w:ascii="Verdana;Arial;sans-serif" w:hAnsi="Verdana;Arial;sans-serif"/>
          <w:b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shd w:fill="FEFEFE" w:val="clear"/>
        </w:rPr>
        <w:t>по същите редове при условия и по ред, определени съвместно от Надзорния съвет на НЗОК и Управителния съвет на Българския лекарски съюз</w:t>
      </w:r>
      <w:r>
        <w:rPr>
          <w:rFonts w:ascii="Verdana;Arial;sans-serif" w:hAnsi="Verdan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EFEFE" w:val="clear"/>
        </w:rPr>
        <w:t>, съответно Българския зъболекарски съюз.</w:t>
      </w:r>
    </w:p>
    <w:p>
      <w:pPr>
        <w:pStyle w:val="PreformattedText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Verdana">
    <w:altName w:val="Arial"/>
    <w:charset w:val="cc"/>
    <w:family w:val="auto"/>
    <w:pitch w:val="default"/>
  </w:font>
  <w:font w:name="Segoe UI Web (Cyrillic)">
    <w:altName w:val="Segoe UI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2021-10-26T11:11:41Z</dcterms:modified>
  <cp:revision>1</cp:revision>
  <dc:subject/>
  <dc:title/>
</cp:coreProperties>
</file>