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F6" w:rsidRDefault="005824F6" w:rsidP="009D7190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9D7190" w:rsidRPr="009D7190" w:rsidRDefault="00815E04" w:rsidP="009D7190">
      <w:pPr>
        <w:jc w:val="center"/>
        <w:rPr>
          <w:rFonts w:ascii="Arial" w:hAnsi="Arial" w:cs="Arial"/>
          <w:b/>
          <w:caps/>
          <w:spacing w:val="20"/>
          <w:sz w:val="28"/>
          <w:szCs w:val="20"/>
          <w:lang w:val="bg-BG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9D7190">
        <w:rPr>
          <w:rFonts w:ascii="Arial" w:hAnsi="Arial" w:cs="Arial"/>
          <w:b/>
          <w:sz w:val="28"/>
          <w:szCs w:val="28"/>
          <w:lang w:val="en-US"/>
        </w:rPr>
        <w:t>.2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9D7190" w:rsidRPr="009D7190">
        <w:rPr>
          <w:rFonts w:ascii="Arial" w:hAnsi="Arial" w:cs="Arial"/>
          <w:b/>
          <w:caps/>
          <w:spacing w:val="20"/>
          <w:sz w:val="28"/>
          <w:szCs w:val="20"/>
          <w:lang w:val="bg-BG"/>
        </w:rPr>
        <w:t>за лица под 18 годишна възраст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1D3E98" w:rsidRPr="000F7506" w:rsidRDefault="001D3E98" w:rsidP="001D3E98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 w:rsidRPr="000F7506">
        <w:rPr>
          <w:b/>
          <w:noProof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121FA5">
        <w:trPr>
          <w:jc w:val="center"/>
        </w:trPr>
        <w:tc>
          <w:tcPr>
            <w:tcW w:w="9412" w:type="dxa"/>
          </w:tcPr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1D3E98" w:rsidRPr="00661AC0" w:rsidRDefault="001D3E98" w:rsidP="00121FA5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C26EED" w:rsidRDefault="001D3E98" w:rsidP="00121FA5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1D3E98" w:rsidRPr="006B335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Илеоскопия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Йеюноскопия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1D3E98" w:rsidRPr="00A97BF0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Фиброоптична колоноскопия 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Колоноскопия през артифициална стома</w:t>
            </w:r>
          </w:p>
          <w:p w:rsidR="001D3E98" w:rsidRPr="006B335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Дълга колоноскопия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оглед на илеума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1D3E98" w:rsidRPr="006B335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121FA5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Pr="004768E1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1D3E98" w:rsidRPr="00661AC0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1D3E98" w:rsidRPr="00661AC0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цекума, с биопсия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 до цекум, с множествени биопсии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Дълга колоноскопия с биопсия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1D3E98" w:rsidRPr="007F7122" w:rsidRDefault="001D3E98" w:rsidP="00121FA5">
            <w:pPr>
              <w:pStyle w:val="Line1"/>
              <w:spacing w:before="0" w:after="0"/>
            </w:pPr>
            <w:r w:rsidRPr="007F7122">
              <w:tab/>
            </w:r>
            <w:proofErr w:type="spellStart"/>
            <w:r w:rsidRPr="007F7122">
              <w:t>Друга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рентгенография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на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гръден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кош</w:t>
            </w:r>
            <w:proofErr w:type="spellEnd"/>
          </w:p>
          <w:p w:rsidR="001D3E98" w:rsidRPr="007F7122" w:rsidRDefault="001D3E98" w:rsidP="00121FA5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1D3E98" w:rsidRPr="007F7122" w:rsidRDefault="001D3E98" w:rsidP="00121FA5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  <w:t>бронх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медиастинум</w:t>
            </w:r>
          </w:p>
          <w:p w:rsidR="001D3E98" w:rsidRPr="007F7122" w:rsidRDefault="001D3E98" w:rsidP="00121FA5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1D3E98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Рентгенография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стомашно-чревен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тракт</w:t>
            </w:r>
            <w:proofErr w:type="spellEnd"/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1D3E98" w:rsidRPr="00E54D6A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на дуоденум (58909 [1975])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8D5A8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D5A8F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8D5A8F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1D3E98" w:rsidRPr="008D5A8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8D5A8F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1D3E98" w:rsidRPr="008D5A8F" w:rsidRDefault="001D3E98" w:rsidP="00121FA5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D5A8F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8D5A8F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Трансректален ултразвук за ендолуменна ехография</w:t>
            </w:r>
          </w:p>
          <w:p w:rsidR="001D3E98" w:rsidRPr="008D5A8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8D5A8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D3E98" w:rsidRPr="008D5A8F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D5A8F">
              <w:rPr>
                <w:rFonts w:ascii="Arial" w:hAnsi="Arial" w:cs="Arial"/>
                <w:b/>
                <w:bCs/>
                <w:sz w:val="20"/>
                <w:szCs w:val="20"/>
              </w:rPr>
              <w:t>таз</w:t>
            </w:r>
            <w:proofErr w:type="spellEnd"/>
          </w:p>
          <w:p w:rsidR="001D3E98" w:rsidRPr="008D5A8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D5A8F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8D5A8F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1D3E98" w:rsidRPr="008D5A8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D5A8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D5A8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D5A8F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1D3E98" w:rsidRPr="00E54D6A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D5A8F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1D3E98" w:rsidRPr="00291DAF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интраторакални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интраабдоминални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съдове</w:t>
            </w:r>
            <w:proofErr w:type="spellEnd"/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lastRenderedPageBreak/>
              <w:t>• аорта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илиачни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1D3E98" w:rsidRPr="00171AC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1932</w:t>
            </w: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Изследвания на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A32329" w:rsidRPr="00842E01" w:rsidRDefault="00A32329" w:rsidP="00A32329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Изследване за нитрити в урината</w:t>
            </w:r>
            <w:r w:rsidRPr="00842E01">
              <w:rPr>
                <w:rFonts w:cs="Arial"/>
                <w:color w:val="FF0000"/>
                <w:sz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shd w:val="clear" w:color="auto" w:fill="FFFFFF"/>
              <w:ind w:left="714"/>
              <w:rPr>
                <w:rFonts w:cs="Arial"/>
                <w:color w:val="FF0000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електрокардиография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[ЕКГ]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42E0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Хематологични изследвания 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Скорост на утаяване на еритроцитите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A32329" w:rsidRPr="003E399D" w:rsidRDefault="003E399D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9B3D66">
              <w:rPr>
                <w:rFonts w:ascii="Arial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Клинично-химични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изследвания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глюкоза</w:t>
            </w:r>
            <w:proofErr w:type="spellEnd"/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урея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Натрий и Калий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91910-38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Клинико-химични изследвания за  хлориди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</w:rPr>
              <w:t>13311-00</w:t>
            </w:r>
            <w:r w:rsidRPr="00842E01">
              <w:rPr>
                <w:rFonts w:ascii="Arial" w:eastAsia="Calibri" w:hAnsi="Arial" w:cs="Arial"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Измерване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газове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смесена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венозна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кръв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2A5B7D" w:rsidRDefault="00A32329" w:rsidP="00A32329">
            <w:pPr>
              <w:tabs>
                <w:tab w:val="left" w:pos="0"/>
              </w:tabs>
              <w:ind w:left="426" w:hanging="426"/>
              <w:rPr>
                <w:rFonts w:ascii="Arial" w:hAnsi="Arial" w:cs="Arial"/>
                <w:b/>
                <w:sz w:val="14"/>
                <w:highlight w:val="yellow"/>
                <w:lang w:val="en-US"/>
              </w:rPr>
            </w:pP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ind w:left="656" w:hanging="65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val="bg-BG"/>
              </w:rPr>
              <w:t xml:space="preserve">    </w:t>
            </w:r>
            <w:r w:rsidRPr="00842E01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Морфологични 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91919-01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1D3E98" w:rsidRPr="00A32329" w:rsidRDefault="00A32329" w:rsidP="00A32329">
            <w:pPr>
              <w:pStyle w:val="SrgCod"/>
              <w:keepNext w:val="0"/>
              <w:keepLines w:val="0"/>
              <w:tabs>
                <w:tab w:val="clear" w:pos="426"/>
                <w:tab w:val="left" w:pos="1196"/>
              </w:tabs>
              <w:spacing w:line="240" w:lineRule="auto"/>
              <w:ind w:left="1196" w:hanging="1196"/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91919-11     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Друго патоморфологично изследване на проба от долния храносмилателен тракт </w:t>
            </w: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и/или изпражнения </w:t>
            </w:r>
          </w:p>
          <w:p w:rsidR="002A7045" w:rsidRDefault="002A7045" w:rsidP="002A7045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9C2698" w:rsidRDefault="009C2698" w:rsidP="009C2698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9C2698" w:rsidRDefault="009C2698" w:rsidP="009C2698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9C2698" w:rsidRPr="009C2698" w:rsidRDefault="009C2698" w:rsidP="002A7045">
            <w:pPr>
              <w:pStyle w:val="SrgCod"/>
              <w:spacing w:line="240" w:lineRule="auto"/>
              <w:rPr>
                <w:lang w:val="en-US"/>
              </w:rPr>
            </w:pPr>
          </w:p>
          <w:p w:rsidR="002A7045" w:rsidRDefault="002A7045" w:rsidP="002A7045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lastRenderedPageBreak/>
              <w:t>• езофаго гастрален преход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възстановителни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стомах</w:t>
            </w:r>
            <w:proofErr w:type="spellEnd"/>
          </w:p>
          <w:p w:rsidR="001D3E98" w:rsidRPr="00FD70C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4dig"/>
              <w:spacing w:before="0" w:line="240" w:lineRule="auto"/>
              <w:outlineLvl w:val="0"/>
            </w:pP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Деструктивни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дебело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черво</w:t>
            </w:r>
            <w:proofErr w:type="spellEnd"/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деструкция на дебелочревни тъкани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терапевтични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Неинцизионно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поставяне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Ректална тампонада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Прилагане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продукти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червени кръвни клетки</w:t>
            </w:r>
          </w:p>
          <w:p w:rsidR="001D3E98" w:rsidRPr="00E80AA3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1D3E98" w:rsidRPr="00CD1BA4" w:rsidRDefault="001D3E98" w:rsidP="00121FA5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1D3E9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Приложение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фармакотерапия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D3E98" w:rsidRPr="003C584D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7478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3C584D" w:rsidRDefault="001D3E98" w:rsidP="00121FA5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1D3E98" w:rsidRPr="00CD1BA4" w:rsidRDefault="001D3E98" w:rsidP="00121FA5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CD1BA4" w:rsidRDefault="001D3E98" w:rsidP="00121FA5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1D3E98" w:rsidRPr="00E80AA3" w:rsidRDefault="001D3E98" w:rsidP="001D3E98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104C4E" w:rsidRDefault="00104C4E" w:rsidP="00104C4E">
      <w:pPr>
        <w:pStyle w:val="Body"/>
        <w:spacing w:before="0" w:line="240" w:lineRule="auto"/>
        <w:ind w:firstLine="570"/>
      </w:pPr>
      <w:r>
        <w:rPr>
          <w:szCs w:val="24"/>
        </w:rPr>
        <w:t>П</w:t>
      </w:r>
      <w:r w:rsidRPr="00E7566C">
        <w:t>ри тежки кръвоизливи или шок (</w:t>
      </w:r>
      <w:r w:rsidRPr="00E7566C">
        <w:rPr>
          <w:lang w:val="de-DE"/>
        </w:rPr>
        <w:t>R</w:t>
      </w:r>
      <w:r w:rsidRPr="00E7566C">
        <w:rPr>
          <w:lang w:val="ru-RU"/>
        </w:rPr>
        <w:t>57.1</w:t>
      </w:r>
      <w:r w:rsidRPr="00E7566C">
        <w:t>) - три основни диагностични процедури:</w:t>
      </w:r>
    </w:p>
    <w:p w:rsidR="00104C4E" w:rsidRPr="00E7566C" w:rsidRDefault="00104C4E" w:rsidP="00104C4E">
      <w:pPr>
        <w:pStyle w:val="Body"/>
        <w:spacing w:before="0" w:line="240" w:lineRule="auto"/>
        <w:ind w:firstLine="570"/>
        <w:rPr>
          <w:szCs w:val="24"/>
        </w:rPr>
      </w:pPr>
      <w:r w:rsidRPr="00E7566C">
        <w:t xml:space="preserve"> - Една диагностична процедура - </w:t>
      </w:r>
      <w:r w:rsidRPr="00E7566C">
        <w:rPr>
          <w:rFonts w:cs="Arial"/>
        </w:rPr>
        <w:t>включва задължително извършване на целия комплекс от медико-диагностични изследвания</w:t>
      </w:r>
      <w:r w:rsidRPr="00E7566C">
        <w:rPr>
          <w:bCs/>
          <w:color w:val="000000"/>
        </w:rPr>
        <w:t xml:space="preserve">, посочени в блок </w:t>
      </w:r>
      <w:r w:rsidRPr="00E7566C">
        <w:t>1932 „Изследвания на урината“;</w:t>
      </w:r>
    </w:p>
    <w:p w:rsidR="00104C4E" w:rsidRPr="00722D98" w:rsidRDefault="00104C4E" w:rsidP="00104C4E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Втора </w:t>
      </w:r>
      <w:r w:rsidRPr="00722D98">
        <w:rPr>
          <w:rFonts w:ascii="Arial" w:hAnsi="Arial"/>
          <w:sz w:val="22"/>
          <w:lang w:val="bg-BG"/>
        </w:rPr>
        <w:t>диагностична процедура, която в</w:t>
      </w:r>
      <w:r w:rsidRPr="00722D98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Pr="00722D98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изследвания“;</w:t>
      </w:r>
    </w:p>
    <w:p w:rsidR="00104C4E" w:rsidRPr="00842E01" w:rsidRDefault="00104C4E" w:rsidP="00104C4E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Трета - електрокардиограма </w:t>
      </w:r>
      <w:r w:rsidRPr="00842E01">
        <w:rPr>
          <w:rFonts w:ascii="Arial" w:hAnsi="Arial"/>
          <w:sz w:val="22"/>
          <w:lang w:val="bg-BG"/>
        </w:rPr>
        <w:t>11700-00</w:t>
      </w:r>
      <w:r>
        <w:rPr>
          <w:rFonts w:ascii="Arial" w:hAnsi="Arial"/>
          <w:sz w:val="22"/>
          <w:lang w:val="bg-BG"/>
        </w:rPr>
        <w:t>;</w:t>
      </w:r>
    </w:p>
    <w:p w:rsidR="00104C4E" w:rsidRDefault="00104C4E" w:rsidP="00104C4E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 xml:space="preserve">от които едната задължително е 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104C4E" w:rsidRPr="00842E01" w:rsidRDefault="00104C4E" w:rsidP="00104C4E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>
        <w:rPr>
          <w:rFonts w:ascii="Arial" w:hAnsi="Arial"/>
          <w:sz w:val="22"/>
          <w:lang w:val="bg-BG"/>
        </w:rPr>
        <w:t xml:space="preserve">чиито </w:t>
      </w:r>
      <w:r>
        <w:rPr>
          <w:rFonts w:ascii="Arial" w:hAnsi="Arial"/>
          <w:sz w:val="22"/>
          <w:szCs w:val="20"/>
          <w:lang w:val="bg-BG"/>
        </w:rPr>
        <w:t>кодове</w:t>
      </w:r>
      <w:r w:rsidRPr="00842E01">
        <w:rPr>
          <w:rFonts w:ascii="Arial" w:hAnsi="Arial"/>
          <w:sz w:val="22"/>
          <w:szCs w:val="20"/>
          <w:lang w:val="bg-BG"/>
        </w:rPr>
        <w:t xml:space="preserve">, </w:t>
      </w:r>
      <w:r>
        <w:rPr>
          <w:rFonts w:ascii="Arial" w:hAnsi="Arial"/>
          <w:sz w:val="22"/>
          <w:szCs w:val="20"/>
          <w:lang w:val="bg-BG"/>
        </w:rPr>
        <w:t xml:space="preserve">са </w:t>
      </w:r>
      <w:r w:rsidRPr="00842E01">
        <w:rPr>
          <w:rFonts w:ascii="Arial" w:hAnsi="Arial"/>
          <w:sz w:val="22"/>
          <w:szCs w:val="20"/>
          <w:lang w:val="bg-BG"/>
        </w:rPr>
        <w:t>посочени в блок „Изследвания на урината);</w:t>
      </w:r>
    </w:p>
    <w:p w:rsidR="00104C4E" w:rsidRDefault="00104C4E" w:rsidP="00104C4E">
      <w:pPr>
        <w:pStyle w:val="Body"/>
        <w:spacing w:before="0" w:line="240" w:lineRule="auto"/>
        <w:ind w:firstLine="570"/>
      </w:pPr>
    </w:p>
    <w:p w:rsidR="00104C4E" w:rsidRDefault="00104C4E" w:rsidP="00104C4E">
      <w:pPr>
        <w:pStyle w:val="Body"/>
        <w:spacing w:before="0" w:line="240" w:lineRule="auto"/>
        <w:ind w:firstLine="570"/>
      </w:pPr>
      <w:r>
        <w:t>В</w:t>
      </w:r>
      <w:r w:rsidRPr="00842E01">
        <w:t xml:space="preserve"> останалите случаи – четири основни диагностични</w:t>
      </w:r>
      <w:r>
        <w:t xml:space="preserve"> процедури</w:t>
      </w:r>
      <w:r w:rsidRPr="00842E01">
        <w:t>:</w:t>
      </w:r>
      <w:r w:rsidRPr="00E7566C">
        <w:t xml:space="preserve"> </w:t>
      </w:r>
    </w:p>
    <w:p w:rsidR="00104C4E" w:rsidRPr="00E7566C" w:rsidRDefault="00104C4E" w:rsidP="00104C4E">
      <w:pPr>
        <w:pStyle w:val="Body"/>
        <w:spacing w:before="0" w:line="240" w:lineRule="auto"/>
        <w:ind w:firstLine="570"/>
        <w:rPr>
          <w:szCs w:val="24"/>
        </w:rPr>
      </w:pPr>
      <w:r w:rsidRPr="00E7566C">
        <w:t xml:space="preserve">- Една диагностична процедура - </w:t>
      </w:r>
      <w:r w:rsidRPr="00E7566C">
        <w:rPr>
          <w:rFonts w:cs="Arial"/>
        </w:rPr>
        <w:t>включва задължително извършване на целия комплекс от медико-диагностични изследвания</w:t>
      </w:r>
      <w:r w:rsidRPr="00E7566C">
        <w:rPr>
          <w:bCs/>
          <w:color w:val="000000"/>
        </w:rPr>
        <w:t xml:space="preserve">, посочени в блок </w:t>
      </w:r>
      <w:r w:rsidRPr="00E7566C">
        <w:t>1932 „Изследвания на урината“;</w:t>
      </w:r>
    </w:p>
    <w:p w:rsidR="00104C4E" w:rsidRPr="00722D98" w:rsidRDefault="00104C4E" w:rsidP="00104C4E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Втора </w:t>
      </w:r>
      <w:r w:rsidRPr="00722D98">
        <w:rPr>
          <w:rFonts w:ascii="Arial" w:hAnsi="Arial"/>
          <w:sz w:val="22"/>
          <w:lang w:val="bg-BG"/>
        </w:rPr>
        <w:t>диагностична процедура, която в</w:t>
      </w:r>
      <w:r w:rsidRPr="00722D98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Pr="00722D98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изследвания“;</w:t>
      </w:r>
    </w:p>
    <w:p w:rsidR="00104C4E" w:rsidRPr="00842E01" w:rsidRDefault="00104C4E" w:rsidP="00104C4E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Трета - електрокардиограма </w:t>
      </w:r>
      <w:r w:rsidRPr="00842E01">
        <w:rPr>
          <w:rFonts w:ascii="Arial" w:hAnsi="Arial"/>
          <w:sz w:val="22"/>
          <w:lang w:val="bg-BG"/>
        </w:rPr>
        <w:t>11700-00</w:t>
      </w:r>
      <w:r>
        <w:rPr>
          <w:rFonts w:ascii="Arial" w:hAnsi="Arial"/>
          <w:sz w:val="22"/>
          <w:lang w:val="bg-BG"/>
        </w:rPr>
        <w:t>;</w:t>
      </w:r>
    </w:p>
    <w:p w:rsidR="00104C4E" w:rsidRPr="00C52CF2" w:rsidRDefault="00104C4E" w:rsidP="00104C4E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>
        <w:rPr>
          <w:rFonts w:ascii="Arial" w:hAnsi="Arial"/>
          <w:sz w:val="22"/>
          <w:lang w:val="bg-BG"/>
        </w:rPr>
        <w:t xml:space="preserve">Четвърта - </w:t>
      </w:r>
      <w:r w:rsidRPr="00C52CF2">
        <w:rPr>
          <w:rFonts w:ascii="Arial" w:hAnsi="Arial"/>
          <w:sz w:val="22"/>
          <w:lang w:val="bg-BG"/>
        </w:rPr>
        <w:t>ендоскопска процедура, и две терапевтични процедури</w:t>
      </w:r>
      <w:r>
        <w:rPr>
          <w:rFonts w:ascii="Arial" w:hAnsi="Arial"/>
          <w:sz w:val="22"/>
          <w:lang w:val="bg-BG"/>
        </w:rPr>
        <w:t xml:space="preserve">, </w:t>
      </w:r>
      <w:r w:rsidRPr="00C52CF2">
        <w:rPr>
          <w:rFonts w:ascii="Arial" w:hAnsi="Arial"/>
          <w:sz w:val="22"/>
          <w:lang w:val="bg-BG"/>
        </w:rPr>
        <w:t xml:space="preserve">от които едната е 96199-09 или 96200-09 или </w:t>
      </w:r>
      <w:r>
        <w:rPr>
          <w:rFonts w:ascii="Arial" w:hAnsi="Arial"/>
          <w:sz w:val="22"/>
          <w:lang w:val="bg-BG"/>
        </w:rPr>
        <w:t>96197-09</w:t>
      </w:r>
      <w:r w:rsidRPr="00C52CF2">
        <w:rPr>
          <w:rFonts w:ascii="Arial" w:hAnsi="Arial"/>
          <w:sz w:val="22"/>
          <w:lang w:val="bg-BG"/>
        </w:rPr>
        <w:t>.</w:t>
      </w:r>
      <w:r w:rsidRPr="00C52CF2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104C4E" w:rsidRDefault="00104C4E" w:rsidP="00104C4E">
      <w:pPr>
        <w:pStyle w:val="BodyChar"/>
        <w:tabs>
          <w:tab w:val="num" w:pos="0"/>
        </w:tabs>
        <w:spacing w:before="0" w:line="240" w:lineRule="auto"/>
        <w:ind w:firstLine="570"/>
      </w:pPr>
      <w:r>
        <w:tab/>
      </w:r>
      <w:r w:rsidRPr="00842E01">
        <w:t>При взимане на биопсия задължително се отчита допълнително и 91919-01 или 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04C4E" w:rsidRDefault="00104C4E" w:rsidP="00104C4E">
      <w:pPr>
        <w:pStyle w:val="Body"/>
        <w:spacing w:before="0" w:line="240" w:lineRule="auto"/>
        <w:rPr>
          <w:szCs w:val="24"/>
        </w:rPr>
      </w:pP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lastRenderedPageBreak/>
        <w:t>1. При контраиндикации или не</w:t>
      </w:r>
      <w:r w:rsidRPr="00E80AA3">
        <w:rPr>
          <w:szCs w:val="24"/>
        </w:rPr>
        <w:t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 xml:space="preserve">2. Терапевтичните процедури: 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>; 96199-02</w:t>
      </w:r>
      <w:r w:rsidRPr="002A5B7D">
        <w:rPr>
          <w:noProof/>
          <w:snapToGrid w:val="0"/>
        </w:rPr>
        <w:t xml:space="preserve"> и *</w:t>
      </w:r>
      <w:r w:rsidRPr="00146638">
        <w:rPr>
          <w:noProof/>
          <w:snapToGrid w:val="0"/>
        </w:rPr>
        <w:t>96199-09</w:t>
      </w:r>
      <w:r w:rsidR="00B30878">
        <w:rPr>
          <w:noProof/>
          <w:snapToGrid w:val="0"/>
          <w:lang w:val="en-US"/>
        </w:rPr>
        <w:t xml:space="preserve"> </w:t>
      </w:r>
      <w:r w:rsidR="00B30878">
        <w:rPr>
          <w:noProof/>
          <w:snapToGrid w:val="0"/>
        </w:rPr>
        <w:t xml:space="preserve"> или </w:t>
      </w:r>
      <w:r w:rsidRPr="00146638">
        <w:rPr>
          <w:noProof/>
          <w:snapToGrid w:val="0"/>
        </w:rPr>
        <w:t>96200-09</w:t>
      </w:r>
      <w:r w:rsidR="00B30878">
        <w:rPr>
          <w:noProof/>
          <w:snapToGrid w:val="0"/>
        </w:rPr>
        <w:t xml:space="preserve"> или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2A7045" w:rsidRPr="002A7045" w:rsidRDefault="002A7045" w:rsidP="002A7045">
      <w:pPr>
        <w:pStyle w:val="Body"/>
        <w:keepNext/>
        <w:keepLines/>
        <w:ind w:firstLine="513"/>
        <w:rPr>
          <w:noProof/>
          <w:lang w:val="en-US"/>
        </w:rPr>
      </w:pPr>
      <w:bookmarkStart w:id="0" w:name="_GoBack"/>
      <w:bookmarkEnd w:id="0"/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3B25CC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AF1194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lastRenderedPageBreak/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9C4442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r w:rsidRPr="009C4442">
        <w:rPr>
          <w:b/>
          <w:noProof/>
        </w:rPr>
        <w:t xml:space="preserve"> </w:t>
      </w:r>
      <w:r w:rsidRPr="009C444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9C4442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975" w:type="dxa"/>
        <w:jc w:val="center"/>
        <w:tblInd w:w="-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5"/>
      </w:tblGrid>
      <w:tr w:rsidR="00815E04" w:rsidRPr="000F7506" w:rsidTr="00A55D42">
        <w:trPr>
          <w:jc w:val="center"/>
        </w:trPr>
        <w:tc>
          <w:tcPr>
            <w:tcW w:w="8975" w:type="dxa"/>
          </w:tcPr>
          <w:p w:rsidR="00815E04" w:rsidRPr="000F7506" w:rsidRDefault="00815E04" w:rsidP="00121FA5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vAlign w:val="center"/>
          </w:tcPr>
          <w:p w:rsidR="00815E04" w:rsidRPr="000F7506" w:rsidRDefault="00815E04" w:rsidP="005F384B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1. Клиника/отделение по хирургия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детска гастроентерология 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педиатрия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ru-RU"/>
              </w:rPr>
              <w:t>5</w:t>
            </w:r>
            <w:r w:rsidR="00815E04"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834" w:type="dxa"/>
        <w:jc w:val="center"/>
        <w:tblInd w:w="-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4"/>
      </w:tblGrid>
      <w:tr w:rsidR="00815E04" w:rsidRPr="000F7506" w:rsidTr="00A55D42">
        <w:trPr>
          <w:jc w:val="center"/>
        </w:trPr>
        <w:tc>
          <w:tcPr>
            <w:tcW w:w="8834" w:type="dxa"/>
          </w:tcPr>
          <w:p w:rsidR="00815E04" w:rsidRPr="000F7506" w:rsidRDefault="00815E04" w:rsidP="00121FA5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bg-BG"/>
              </w:rPr>
              <w:t xml:space="preserve">1. </w:t>
            </w:r>
            <w:r w:rsidR="00815E04"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="00815E04"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A55D42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42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r w:rsidR="00267995"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</w:t>
            </w:r>
            <w:r w:rsidR="00000678">
              <w:rPr>
                <w:rFonts w:ascii="Arial" w:hAnsi="Arial" w:cs="Arial"/>
                <w:sz w:val="20"/>
                <w:szCs w:val="20"/>
                <w:lang w:val="ru-RU"/>
              </w:rPr>
              <w:t xml:space="preserve">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>Необходими специалисти за лечение на пациенти на възраст под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709" w:hanging="142"/>
      </w:pPr>
      <w:r w:rsidRPr="000F7506">
        <w:t xml:space="preserve">- лекари със специалност </w:t>
      </w:r>
      <w:r>
        <w:t>педиатрия</w:t>
      </w:r>
      <w:r w:rsidRPr="000F7506">
        <w:t xml:space="preserve"> – минимум четирима, от които поне един със специалност по детска гастроентерология;</w:t>
      </w:r>
    </w:p>
    <w:p w:rsidR="00815E04" w:rsidRPr="000F7506" w:rsidRDefault="00815E04" w:rsidP="00815E04">
      <w:pPr>
        <w:pStyle w:val="BodyChar"/>
        <w:spacing w:before="0" w:line="240" w:lineRule="auto"/>
        <w:ind w:firstLine="426"/>
        <w:rPr>
          <w:szCs w:val="22"/>
        </w:rPr>
      </w:pPr>
      <w:r w:rsidRPr="000F7506">
        <w:rPr>
          <w:szCs w:val="22"/>
        </w:rPr>
        <w:t>или</w:t>
      </w:r>
    </w:p>
    <w:p w:rsidR="00121FA5" w:rsidRPr="00AB3E98" w:rsidRDefault="00815E04" w:rsidP="00AB3E98">
      <w:pPr>
        <w:pStyle w:val="BodyChar"/>
        <w:spacing w:before="0" w:line="240" w:lineRule="auto"/>
        <w:ind w:left="709" w:firstLine="0"/>
        <w:rPr>
          <w:b/>
          <w:szCs w:val="22"/>
        </w:rPr>
      </w:pPr>
      <w:r w:rsidRPr="00EC3B3E">
        <w:t>лекари със специалност по детска хирургия – минимум двама, единият от които може да е със специалност по обща хирургия;</w:t>
      </w:r>
      <w:r w:rsidR="00121FA5" w:rsidRPr="006C3823">
        <w:t>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r w:rsidRPr="000F7506">
        <w:t>лекар със специалност по</w:t>
      </w:r>
      <w:r w:rsidRPr="000F7506">
        <w:rPr>
          <w:lang w:val="ru-RU"/>
        </w:rPr>
        <w:t xml:space="preserve"> </w:t>
      </w:r>
      <w:r w:rsidRPr="000F7506">
        <w:t>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</w:t>
      </w:r>
      <w:r w:rsidRPr="000F7506">
        <w:tab/>
        <w:t>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</w:t>
      </w:r>
      <w:r w:rsidRPr="00356197">
        <w:t xml:space="preserve"> 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lastRenderedPageBreak/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2. Клинико-лабораторни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хематология пълно изследване: </w:t>
      </w:r>
      <w:proofErr w:type="spellStart"/>
      <w:r w:rsidRPr="000F7506">
        <w:rPr>
          <w:lang w:val="en-US"/>
        </w:rPr>
        <w:t>Hb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Hct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Er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Leu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Thr</w:t>
      </w:r>
      <w:proofErr w:type="spellEnd"/>
      <w:r w:rsidRPr="000F7506">
        <w:rPr>
          <w:lang w:val="ru-RU"/>
        </w:rPr>
        <w:t xml:space="preserve"> – възможно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3. Абдоминална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Ендоскопско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lastRenderedPageBreak/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proofErr w:type="spellStart"/>
      <w:r w:rsidRPr="000F7506">
        <w:rPr>
          <w:lang w:val="en-US"/>
        </w:rPr>
        <w:t>Ia</w:t>
      </w:r>
      <w:proofErr w:type="spellEnd"/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Pr="00953352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953352">
        <w:t xml:space="preserve">- </w:t>
      </w:r>
      <w:r w:rsidRPr="00953352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E57E08" w:rsidRDefault="00E57E08" w:rsidP="00953352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815E04" w:rsidRPr="00A80AF6" w:rsidRDefault="00953352" w:rsidP="00A80AF6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953352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A80AF6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A80AF6" w:rsidRPr="00A80AF6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самостоятелно.</w:t>
      </w:r>
    </w:p>
    <w:p w:rsidR="00A80AF6" w:rsidRPr="00A80AF6" w:rsidRDefault="00A80AF6" w:rsidP="00A80AF6">
      <w:pPr>
        <w:ind w:firstLine="567"/>
        <w:jc w:val="both"/>
        <w:rPr>
          <w:lang w:val="bg-BG"/>
        </w:rPr>
      </w:pPr>
    </w:p>
    <w:p w:rsidR="00815E04" w:rsidRPr="00953352" w:rsidRDefault="00815E04" w:rsidP="00815E04">
      <w:pPr>
        <w:pStyle w:val="Body"/>
        <w:spacing w:before="0" w:line="240" w:lineRule="auto"/>
        <w:rPr>
          <w:b/>
          <w:noProof/>
        </w:rPr>
      </w:pPr>
      <w:r w:rsidRPr="00953352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953352" w:rsidRDefault="00815E04" w:rsidP="00815E04">
      <w:pPr>
        <w:pStyle w:val="Body"/>
        <w:spacing w:before="0" w:line="240" w:lineRule="auto"/>
        <w:rPr>
          <w:b/>
          <w:noProof/>
        </w:rPr>
      </w:pPr>
      <w:r w:rsidRPr="00953352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815E04" w:rsidRPr="00953352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953352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953352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953352">
        <w:t>След ендоскопско изследване при хемодинамично стабилен болен и възможно откриване</w:t>
      </w:r>
      <w:r w:rsidRPr="000F7506">
        <w:t xml:space="preserve">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lastRenderedPageBreak/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F2697C" w:rsidRPr="00F2697C" w:rsidRDefault="00F2697C" w:rsidP="00F2697C">
      <w:pPr>
        <w:keepNext/>
        <w:keepLines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F2697C">
        <w:rPr>
          <w:rFonts w:ascii="Arial" w:hAnsi="Arial" w:cs="Arial"/>
          <w:sz w:val="22"/>
          <w:szCs w:val="22"/>
          <w:lang w:val="bg-BG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</w:t>
      </w:r>
      <w:r w:rsidR="00A80AF6">
        <w:rPr>
          <w:rFonts w:cs="Arial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  <w:color w:val="000000"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A80AF6" w:rsidRDefault="00A80AF6" w:rsidP="00815E04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00678"/>
    <w:rsid w:val="00104C4E"/>
    <w:rsid w:val="00121FA5"/>
    <w:rsid w:val="001A0777"/>
    <w:rsid w:val="001A7ED9"/>
    <w:rsid w:val="001D3E98"/>
    <w:rsid w:val="00261761"/>
    <w:rsid w:val="00267995"/>
    <w:rsid w:val="002A5B7D"/>
    <w:rsid w:val="002A7045"/>
    <w:rsid w:val="002B6F28"/>
    <w:rsid w:val="002D27C4"/>
    <w:rsid w:val="003B25CC"/>
    <w:rsid w:val="003E399D"/>
    <w:rsid w:val="00415835"/>
    <w:rsid w:val="00444AE2"/>
    <w:rsid w:val="00563FA5"/>
    <w:rsid w:val="005824F6"/>
    <w:rsid w:val="00586297"/>
    <w:rsid w:val="005F384B"/>
    <w:rsid w:val="006C3823"/>
    <w:rsid w:val="00801F16"/>
    <w:rsid w:val="00815E04"/>
    <w:rsid w:val="008D5A8F"/>
    <w:rsid w:val="00953352"/>
    <w:rsid w:val="009C2698"/>
    <w:rsid w:val="009C4442"/>
    <w:rsid w:val="009D3CED"/>
    <w:rsid w:val="009D7190"/>
    <w:rsid w:val="00A32329"/>
    <w:rsid w:val="00A55D42"/>
    <w:rsid w:val="00A6025A"/>
    <w:rsid w:val="00A656F7"/>
    <w:rsid w:val="00A80AF6"/>
    <w:rsid w:val="00AB1AB8"/>
    <w:rsid w:val="00AB3E98"/>
    <w:rsid w:val="00AF1194"/>
    <w:rsid w:val="00B01B96"/>
    <w:rsid w:val="00B30878"/>
    <w:rsid w:val="00C633CF"/>
    <w:rsid w:val="00E57E08"/>
    <w:rsid w:val="00F2697C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4537</Words>
  <Characters>25866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32</cp:revision>
  <dcterms:created xsi:type="dcterms:W3CDTF">2019-05-17T07:52:00Z</dcterms:created>
  <dcterms:modified xsi:type="dcterms:W3CDTF">2022-03-22T08:20:00Z</dcterms:modified>
</cp:coreProperties>
</file>