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746" w:rsidRPr="00890746" w:rsidRDefault="00890746" w:rsidP="00890746">
      <w:pPr>
        <w:spacing w:before="450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bg-BG"/>
        </w:rPr>
      </w:pPr>
      <w:bookmarkStart w:id="0" w:name="to_paragraph_id42645746"/>
      <w:bookmarkEnd w:id="0"/>
      <w:r w:rsidRPr="00890746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bg-BG"/>
        </w:rPr>
        <w:t xml:space="preserve">АМБУЛАТОРНА ПРОЦЕДУРА № 10 НАБЛЮДЕНИЕ ПРИ ПАЦИЕНТИ С НЕВРОМУСКУЛНИ ЗАБОЛЯВАНИЯ НА НЕИНВАЗИВНА ВЕНТИЛАЦИЯ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180"/>
        <w:gridCol w:w="180"/>
        <w:gridCol w:w="180"/>
      </w:tblGrid>
      <w:tr w:rsidR="00890746" w:rsidRPr="00890746" w:rsidTr="00890746">
        <w:trPr>
          <w:trHeight w:val="165"/>
          <w:hidden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890746" w:rsidRPr="00890746" w:rsidRDefault="00890746" w:rsidP="00890746">
            <w:pPr>
              <w:spacing w:after="0" w:line="75" w:lineRule="atLeast"/>
              <w:rPr>
                <w:rFonts w:ascii="Verdana" w:eastAsia="Times New Roman" w:hAnsi="Verdana" w:cs="Times New Roman"/>
                <w:vanish/>
                <w:color w:val="000000"/>
                <w:sz w:val="16"/>
                <w:szCs w:val="18"/>
                <w:lang w:eastAsia="bg-BG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890746" w:rsidRPr="00890746" w:rsidRDefault="00890746" w:rsidP="00890746">
            <w:pPr>
              <w:spacing w:after="0" w:line="75" w:lineRule="atLeast"/>
              <w:rPr>
                <w:rFonts w:ascii="Verdana" w:eastAsia="Times New Roman" w:hAnsi="Verdana" w:cs="Times New Roman"/>
                <w:vanish/>
                <w:color w:val="000000"/>
                <w:sz w:val="16"/>
                <w:szCs w:val="18"/>
                <w:lang w:eastAsia="bg-BG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890746" w:rsidRPr="00890746" w:rsidRDefault="00890746" w:rsidP="00890746">
            <w:pPr>
              <w:spacing w:after="0" w:line="75" w:lineRule="atLeast"/>
              <w:rPr>
                <w:rFonts w:ascii="Verdana" w:eastAsia="Times New Roman" w:hAnsi="Verdana" w:cs="Times New Roman"/>
                <w:vanish/>
                <w:color w:val="000000"/>
                <w:sz w:val="16"/>
                <w:szCs w:val="18"/>
                <w:lang w:eastAsia="bg-BG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890746" w:rsidRPr="00890746" w:rsidRDefault="00890746" w:rsidP="00890746">
            <w:pPr>
              <w:spacing w:after="0" w:line="75" w:lineRule="atLeast"/>
              <w:rPr>
                <w:rFonts w:ascii="Verdana" w:eastAsia="Times New Roman" w:hAnsi="Verdana" w:cs="Times New Roman"/>
                <w:vanish/>
                <w:color w:val="000000"/>
                <w:sz w:val="16"/>
                <w:szCs w:val="18"/>
                <w:lang w:eastAsia="bg-BG"/>
              </w:rPr>
            </w:pPr>
          </w:p>
        </w:tc>
      </w:tr>
    </w:tbl>
    <w:p w:rsidR="00890746" w:rsidRPr="00890746" w:rsidRDefault="003F26B8" w:rsidP="00890746">
      <w:pPr>
        <w:keepNext/>
        <w:keepLines/>
        <w:spacing w:after="0" w:line="240" w:lineRule="auto"/>
        <w:ind w:firstLine="990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bookmarkStart w:id="1" w:name="to_paragraph_id42645747"/>
      <w:bookmarkEnd w:id="1"/>
      <w:r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>1.</w:t>
      </w:r>
      <w:r w:rsidR="00890746" w:rsidRPr="00890746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>Продължителност</w:t>
      </w:r>
      <w:r w:rsidR="00890746" w:rsidRPr="00890746">
        <w:rPr>
          <w:rFonts w:ascii="Verdana" w:eastAsia="Times New Roman" w:hAnsi="Verdana" w:cs="Times New Roman"/>
          <w:noProof/>
          <w:color w:val="000000"/>
          <w:sz w:val="24"/>
          <w:szCs w:val="24"/>
          <w:lang w:val="ru-RU" w:eastAsia="bg-BG"/>
        </w:rPr>
        <w:t xml:space="preserve"> 12 часа</w:t>
      </w:r>
    </w:p>
    <w:p w:rsidR="003F26B8" w:rsidRDefault="003F26B8" w:rsidP="00890746">
      <w:pPr>
        <w:keepNext/>
        <w:keepLines/>
        <w:spacing w:after="0" w:line="240" w:lineRule="auto"/>
        <w:ind w:firstLine="990"/>
        <w:jc w:val="center"/>
        <w:rPr>
          <w:rFonts w:ascii="Verdana" w:eastAsia="Times New Roman" w:hAnsi="Verdana" w:cs="Times New Roman"/>
          <w:b/>
          <w:noProof/>
          <w:color w:val="000000"/>
          <w:sz w:val="24"/>
          <w:szCs w:val="24"/>
          <w:lang w:eastAsia="bg-BG"/>
        </w:rPr>
      </w:pPr>
    </w:p>
    <w:p w:rsidR="00890746" w:rsidRPr="00890746" w:rsidRDefault="003F26B8" w:rsidP="00890746">
      <w:pPr>
        <w:keepNext/>
        <w:keepLines/>
        <w:spacing w:after="0" w:line="240" w:lineRule="auto"/>
        <w:ind w:firstLine="990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>
        <w:rPr>
          <w:b/>
          <w:noProof/>
        </w:rPr>
        <w:t>2.1.</w:t>
      </w:r>
      <w:r w:rsidRPr="00422CDD">
        <w:rPr>
          <w:b/>
          <w:noProof/>
        </w:rPr>
        <w:t>КОДОВЕ НА БОЛЕСТИ ПО МКБ-10</w:t>
      </w:r>
    </w:p>
    <w:tbl>
      <w:tblPr>
        <w:tblW w:w="0" w:type="auto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890746" w:rsidRPr="00890746" w:rsidTr="00890746">
        <w:trPr>
          <w:jc w:val="center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bg-BG"/>
              </w:rPr>
              <w:t>Спинална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bg-BG"/>
              </w:rPr>
              <w:t xml:space="preserve"> мускулна атрофия и сродни синдроми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G12.0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Детска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спинална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мускулна атрофия, I тип [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Werdnig-Hoffman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]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G12.1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Други наследствени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спинални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мускулни атрофии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Прогресираща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булбарна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парализа при деца [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Fazio-Londe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]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Спинална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мускулна атрофия: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при възрастни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детска форма, тип II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дистална</w:t>
            </w:r>
            <w:proofErr w:type="spellEnd"/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юношеска форма, тип III [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Kugelberg-Welander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]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скапуло-перонеална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форма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G12.2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Болест на двигателния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неврон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Прогресираща: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булбарна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парализа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спинална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мускулна атрофия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G12.8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Други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спинални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мускулни атрофии и сродни синдроми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bg-BG"/>
              </w:rPr>
              <w:t>Първични мускулни увреждания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G71.0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Мускулна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дистрофия</w:t>
            </w:r>
            <w:proofErr w:type="spellEnd"/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Мускулна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дистрофия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: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автозомно-рецесивна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детски тип, наподобяваща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дистрофията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Duchenne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Becker</w:t>
            </w:r>
            <w:proofErr w:type="spellEnd"/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доброкачествена [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Becker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]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доброкачествена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скапуло-перонеална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 ранни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контрактури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[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Emery-Dreifuss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]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дистална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фацио-скапуло-хумерална</w:t>
            </w:r>
            <w:proofErr w:type="spellEnd"/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пояс-крайник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на очните мускули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околофарингеална</w:t>
            </w:r>
            <w:proofErr w:type="spellEnd"/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скапуло-перонеална</w:t>
            </w:r>
            <w:proofErr w:type="spellEnd"/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злокачествена [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Duchenne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]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G71.1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Миотонични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увреждания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Дистрофична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миотония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[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Steinert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]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G71.2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Вродени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миопатии</w:t>
            </w:r>
            <w:proofErr w:type="spellEnd"/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Вродена мускулна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дистрофия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: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БДУ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със специфични морфологични увреждания на мускулното влакно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Болест: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на централното ядро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миниядрена</w:t>
            </w:r>
            <w:proofErr w:type="spellEnd"/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мултиядрена</w:t>
            </w:r>
            <w:proofErr w:type="spellEnd"/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Диспропорция на типовете влакна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Миопатия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: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миотубуларна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центроядрена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немалинова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G71.3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Митохондриална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миопатия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некласифицирана другаде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G71.8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Други първични мускулни увреждания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G72.4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Възпалителна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миопатия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некласифицирана другаде</w:t>
            </w:r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E74.0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Болест на натрупването на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гликоген</w:t>
            </w:r>
            <w:proofErr w:type="spellEnd"/>
          </w:p>
          <w:p w:rsidR="00890746" w:rsidRPr="00890746" w:rsidRDefault="00890746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Гликогеноза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тип II, болест на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Помпе</w:t>
            </w:r>
            <w:proofErr w:type="spellEnd"/>
          </w:p>
        </w:tc>
      </w:tr>
    </w:tbl>
    <w:p w:rsidR="00890746" w:rsidRPr="00890746" w:rsidRDefault="00890746" w:rsidP="003F26B8">
      <w:pPr>
        <w:keepNext/>
        <w:keepLines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  <w:lastRenderedPageBreak/>
        <w:t>КОДОВЕ НА ОСНОВНИ ПРОЦЕДУРИ</w:t>
      </w:r>
    </w:p>
    <w:tbl>
      <w:tblPr>
        <w:tblW w:w="9426" w:type="dxa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6"/>
      </w:tblGrid>
      <w:tr w:rsidR="00890746" w:rsidRPr="00890746" w:rsidTr="003F26B8">
        <w:trPr>
          <w:trHeight w:val="705"/>
          <w:jc w:val="center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6B8" w:rsidRPr="003F26B8" w:rsidRDefault="003F26B8" w:rsidP="003F26B8">
            <w:pPr>
              <w:widowControl w:val="0"/>
              <w:tabs>
                <w:tab w:val="center" w:pos="426"/>
                <w:tab w:val="left" w:pos="567"/>
              </w:tabs>
              <w:spacing w:after="0" w:line="0" w:lineRule="atLeast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GB"/>
              </w:rPr>
            </w:pPr>
            <w:r w:rsidRPr="003F26B8"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GB"/>
              </w:rPr>
              <w:t>2.2. основни диагностични процедури - Приложения № 21 и № 23</w:t>
            </w:r>
          </w:p>
          <w:p w:rsidR="003F26B8" w:rsidRPr="003F26B8" w:rsidRDefault="003F26B8" w:rsidP="003F26B8">
            <w:pPr>
              <w:widowControl w:val="0"/>
              <w:tabs>
                <w:tab w:val="center" w:pos="426"/>
                <w:tab w:val="left" w:pos="567"/>
              </w:tabs>
              <w:spacing w:after="0" w:line="0" w:lineRule="atLeast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GB"/>
              </w:rPr>
            </w:pPr>
          </w:p>
          <w:p w:rsidR="00890746" w:rsidRPr="00890746" w:rsidRDefault="003F26B8" w:rsidP="003F26B8">
            <w:pPr>
              <w:widowControl w:val="0"/>
              <w:tabs>
                <w:tab w:val="center" w:pos="426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26B8"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GB"/>
              </w:rPr>
              <w:t>2.3. основни терапевтични процедури (включително Приложение № 22)</w:t>
            </w:r>
          </w:p>
        </w:tc>
      </w:tr>
      <w:tr w:rsidR="003F26B8" w:rsidRPr="00890746" w:rsidTr="00890746">
        <w:trPr>
          <w:trHeight w:val="11055"/>
          <w:jc w:val="center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6B8" w:rsidRPr="003F26B8" w:rsidRDefault="003F26B8" w:rsidP="003F26B8">
            <w:pPr>
              <w:widowControl w:val="0"/>
              <w:tabs>
                <w:tab w:val="center" w:pos="426"/>
                <w:tab w:val="left" w:pos="567"/>
              </w:tabs>
              <w:spacing w:after="0" w:line="0" w:lineRule="atLeast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93.39 Физиотерапия и рехабилитация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Умения, придобити по време на движение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Двигателна терапия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Работа с нарастваща натовареност/трудни условия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Включва: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оценка на прогреса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Забележка: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Тренинг, включващ умения, изискващи асистиране или наблюдение на клиента при изпълнение на упражнения, с цел подобряване кондицията на тялото, подобряване на здравето или поддържане на форма или като средство за корекция на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деформитет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възстановяване на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органни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телесни функции до състояние на здраве.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96129-00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Терапия с упражнение, цяло тяло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Двигателна терапия БДУ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Обща двигателна терапия като гимнастически групи, плуване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93.94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Аерозолна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терапия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Други терапевтични интервенции на дихателна система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92043-00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Респираторен медикамент, прилаган чрез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небулайзер</w:t>
            </w:r>
            <w:proofErr w:type="spellEnd"/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Овлажняваща терапия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93.96 Кислородно лечение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92044-00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Друго кислородно обогатяване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РЕСПИРАТОРНА ТЕРАПИЯ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93.90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продължително позитивно налягане в дихателните пътища [СРАР или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BiPAP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]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двуфазно налягане в дихателните пътища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BiPAP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неинвазивно позитивно налягане в дихателните пътища (NIPPV)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Неинвазивно вентилаторно подпомагане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Bi-ниво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позитивно въздушно налягане [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BiPAP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]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Продължително позитивно въздушно налягане [CPAP]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Непостоянна маска CPAP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Дишане с променливо позитивно налягане [IPPB]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Вентилация с променливо позитивно налягане [IPPV]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Неинвазивна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маскова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вентилация [NIMV]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Неинвазивна вентилация под налягане [NIPV]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Включва: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вентилационно подпомагане с: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 лицева маска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 орално парче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 назална маска (възглавнички) (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канюли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назална,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назофарингеална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тръба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включва: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такава с: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ендотрахеална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интубация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(виж блок [569])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трахеостомия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(виж блок [569])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92209-00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Грижа и поддържане на неинвазивно 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тилаторно подпомагане, ≤ 24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</w:t>
            </w:r>
            <w:proofErr w:type="spellEnd"/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Дейностите по тези два кода са в следващите 3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96199-09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Интравенозно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Прилагане на фармакологичен агент чрез: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инфузионен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порт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Port-A-Cath</w:t>
            </w:r>
            <w:proofErr w:type="spellEnd"/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 резервоар (подкожен)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 устройство за съдов достъп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 венозен катетър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Кодирай също когато е направена: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 поставяне, изваждане или ревизия на устройство за съдов достъп (виж блок [766])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 зареждане на устройство за доставяне на медикаменти (96209 [1920])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включва: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хирургична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катетеризация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 прилагане на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химиотерапевтичен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агент (виж блок [741])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96197-09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Мускулно приложение на фармакологичен агент, друг и неспецифичен фармакологичен агент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96200-09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3F26B8" w:rsidRPr="00890746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Кодирай също когато е направена:</w:t>
            </w:r>
          </w:p>
          <w:p w:rsidR="003F26B8" w:rsidRPr="003F26B8" w:rsidRDefault="003F26B8" w:rsidP="0089074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GB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 зареждане на устройство за доставяне на медикаменти (96209 [1920])</w:t>
            </w:r>
          </w:p>
        </w:tc>
      </w:tr>
    </w:tbl>
    <w:p w:rsidR="00890746" w:rsidRPr="00890746" w:rsidRDefault="00890746" w:rsidP="00890746">
      <w:pPr>
        <w:keepNext/>
        <w:keepLines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Изискване: Амбулаторната процедура се счита за завършена, ако са приложени и отчетени задължително диагностичните процедури 89.51, 11709-00 и 89.54, 92057-00 и терапевтична процедура 93.90, 92209-00. </w:t>
      </w:r>
    </w:p>
    <w:p w:rsidR="00890746" w:rsidRPr="00890746" w:rsidRDefault="00890746" w:rsidP="00890746">
      <w:pPr>
        <w:keepNext/>
        <w:keepLines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Диагностична клинична процедура с код</w:t>
      </w:r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89.66 </w:t>
      </w:r>
      <w:proofErr w:type="spellStart"/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Мониториране</w:t>
      </w:r>
      <w:proofErr w:type="spellEnd"/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показателите на дихателните газове (кислород и въглероден двуокис), 11503-10</w:t>
      </w:r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  <w:t xml:space="preserve">Измерване на газова обмяна, </w:t>
      </w: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се прилага по показания при постъпване и до края на престоя. </w:t>
      </w:r>
      <w:proofErr w:type="spellStart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Мониторирането</w:t>
      </w:r>
      <w:proofErr w:type="spellEnd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показатели на дихателни газове да се приеме като </w:t>
      </w:r>
      <w:proofErr w:type="spellStart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мониториране</w:t>
      </w:r>
      <w:proofErr w:type="spellEnd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</w:t>
      </w:r>
      <w:proofErr w:type="spellStart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SatO</w:t>
      </w:r>
      <w:proofErr w:type="spellEnd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ru-RU" w:eastAsia="bg-BG"/>
        </w:rPr>
        <w:t xml:space="preserve">2. </w:t>
      </w:r>
    </w:p>
    <w:p w:rsidR="00890746" w:rsidRPr="00890746" w:rsidRDefault="00890746" w:rsidP="00890746">
      <w:pPr>
        <w:keepNext/>
        <w:keepLines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</w:p>
    <w:p w:rsidR="00890746" w:rsidRPr="00890746" w:rsidRDefault="00890746" w:rsidP="00890746">
      <w:pPr>
        <w:keepNext/>
        <w:keepLines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Диагностична процедура с код</w:t>
      </w:r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 xml:space="preserve"> </w:t>
      </w:r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90.59 Изследване на кръвни показатели - изследване на кръв, кодове от блокове 1923 и 1924, </w:t>
      </w: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 прилагат при постъпване и по индикации до края на престоя.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Когато се използват кодовете от блокове 1923 и 1924, се извършват и кодират необходимите кодове от блоковете, като всички кодове на изследвания от блоковете се считат за една диагностична процедура за завършване и отчитане на тази КП. </w:t>
      </w:r>
    </w:p>
    <w:p w:rsidR="00890746" w:rsidRPr="003F26B8" w:rsidRDefault="003F26B8" w:rsidP="00890746">
      <w:pPr>
        <w:keepNext/>
        <w:keepLines/>
        <w:spacing w:before="100" w:beforeAutospacing="1"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F26B8">
        <w:rPr>
          <w:rFonts w:ascii="Times New Roman" w:hAnsi="Times New Roman" w:cs="Times New Roman"/>
          <w:b/>
          <w:sz w:val="24"/>
          <w:szCs w:val="24"/>
        </w:rPr>
        <w:t>4.</w:t>
      </w:r>
      <w:r w:rsidRPr="003F26B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F26B8">
        <w:rPr>
          <w:rFonts w:ascii="Times New Roman" w:hAnsi="Times New Roman" w:cs="Times New Roman"/>
          <w:b/>
          <w:sz w:val="24"/>
          <w:szCs w:val="24"/>
        </w:rPr>
        <w:t xml:space="preserve">УСЛОВИЯ ЗА СКЛЮЧВАНЕ НА ДОГОВОР </w:t>
      </w:r>
      <w:r w:rsidR="00890746" w:rsidRPr="003F26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ИЗПЪЛНЕНИЕ НА АМБУЛАТОРНАТА ПРОЦЕДУРА: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Клиничната процедура включва дейности и услуги от обхвата на медицинската специалност „Анестезиология и интензивно лечение”, осъществявана на трето ниво на компетентност, съгласно медицински стандарт „Анестезия и интензивно лечение“, в обхвата на медицинската специалност „Вътрешни болести“, осъществявана на трето ниво на компетентност, съгласно медицински стандарт „Вътрешни болести“, в обхвата на медицинската специалност „Нервни болести“, осъществявана на трето ниво на компетентност, съгласно медицински стандарт „Нервни болести“, и в обхвата на медицинската специалност „Педиатрия“, осъществявана на трето ниво на компетентност съгласно медицински стандарт „Педиатрия“.</w:t>
      </w:r>
    </w:p>
    <w:p w:rsidR="00890746" w:rsidRPr="00890746" w:rsidRDefault="00890746" w:rsidP="00890746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890746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Изискванията за наличие на задължителните звена, апаратура и специалисти са в съответствие с медицинските стандарти по „Анестезия и интензивно лечение”, „Вътрешни болести или Педиатрия” и „Нервни болести”.</w:t>
      </w:r>
    </w:p>
    <w:p w:rsidR="003F26B8" w:rsidRDefault="003F26B8" w:rsidP="003F26B8">
      <w:pPr>
        <w:pStyle w:val="Body"/>
        <w:keepNext/>
        <w:keepLines/>
        <w:ind w:firstLine="708"/>
        <w:rPr>
          <w:b/>
          <w:noProof/>
        </w:rPr>
      </w:pPr>
      <w:r>
        <w:rPr>
          <w:b/>
          <w:noProof/>
          <w:lang w:val="ru-RU"/>
        </w:rPr>
        <w:t>4</w:t>
      </w:r>
      <w:r w:rsidRPr="002E1541">
        <w:rPr>
          <w:b/>
          <w:noProof/>
        </w:rPr>
        <w:t>.</w:t>
      </w:r>
      <w:r>
        <w:rPr>
          <w:b/>
          <w:noProof/>
        </w:rPr>
        <w:t>а.</w:t>
      </w:r>
      <w:r w:rsidRPr="002E1541">
        <w:rPr>
          <w:b/>
          <w:noProof/>
        </w:rPr>
        <w:t xml:space="preserve"> </w:t>
      </w:r>
      <w:r>
        <w:rPr>
          <w:b/>
          <w:noProof/>
        </w:rPr>
        <w:t>ЗАДЪЛЖИТЕЛНИ</w:t>
      </w:r>
      <w:r w:rsidRPr="002E1541">
        <w:rPr>
          <w:b/>
          <w:noProof/>
        </w:rPr>
        <w:t xml:space="preserve"> ЗВЕНА</w:t>
      </w:r>
      <w:r>
        <w:rPr>
          <w:b/>
          <w:noProof/>
        </w:rPr>
        <w:t>,</w:t>
      </w:r>
      <w:r w:rsidRPr="002E1541">
        <w:rPr>
          <w:b/>
          <w:noProof/>
        </w:rPr>
        <w:t xml:space="preserve"> МЕДИЦИНСКА АПАРАТУРА И ОБОРУДВАНЕ, НАЛИЧНИ И ФУНКЦИОНИРАЩИ </w:t>
      </w:r>
      <w:r>
        <w:rPr>
          <w:b/>
          <w:noProof/>
        </w:rPr>
        <w:t>НА ТЕРИТОРИЯТА</w:t>
      </w:r>
      <w:r w:rsidRPr="002E1541">
        <w:rPr>
          <w:b/>
          <w:noProof/>
        </w:rPr>
        <w:t xml:space="preserve"> НА ЛЕЧЕБНОТО ЗАВЕДЕНИЕ</w:t>
      </w:r>
      <w:r>
        <w:rPr>
          <w:b/>
          <w:noProof/>
        </w:rPr>
        <w:t>,</w:t>
      </w:r>
      <w:r w:rsidRPr="0089117C">
        <w:rPr>
          <w:rFonts w:cs="Arial"/>
          <w:b/>
          <w:noProof/>
          <w:szCs w:val="22"/>
        </w:rPr>
        <w:t xml:space="preserve"> </w:t>
      </w:r>
      <w:r>
        <w:rPr>
          <w:rFonts w:cs="Arial"/>
          <w:b/>
          <w:noProof/>
          <w:szCs w:val="22"/>
        </w:rPr>
        <w:t>ИЗПЪЛНИТЕЛ НА БОЛНИЧНА ПОМОЩ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  <w:t xml:space="preserve">ЗАДЪЛЖИТЕЛНИ ЗВЕНА, МЕДИЦИНСКА АПАРАТУРА И ОБОРУДВАНЕ, НАЛИЧНИ И ФУНКЦИОНИРАЩИ НА ТЕРИТОРИЯТА НА ЛЕЧЕБНОТО ЗАВЕДЕНИЕ, ИЗПЪЛНИТЕЛ НА БОЛНИЧНА ПОМОЩ – ЗА </w:t>
      </w:r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КАИЛ/ОАИЛ, ВЪТРЕШНИ БОЛЕСТИ, ПЕДИАТРИЯ И НЕРВНИ БОЛЕСТИ</w:t>
      </w:r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 xml:space="preserve"> С </w:t>
      </w:r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III</w:t>
      </w:r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 xml:space="preserve"> </w:t>
      </w:r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НИВО НА КОМПЕТЕНТНОСТ</w:t>
      </w:r>
    </w:p>
    <w:tbl>
      <w:tblPr>
        <w:tblW w:w="7664" w:type="dxa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664"/>
      </w:tblGrid>
      <w:tr w:rsidR="00890746" w:rsidRPr="00890746" w:rsidTr="00890746">
        <w:trPr>
          <w:jc w:val="center"/>
        </w:trPr>
        <w:tc>
          <w:tcPr>
            <w:tcW w:w="7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Lines/>
              <w:spacing w:before="450" w:after="100" w:afterAutospacing="1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bg-BG"/>
              </w:rPr>
              <w:t>Задължително звено/медицинска апаратура</w:t>
            </w:r>
          </w:p>
        </w:tc>
      </w:tr>
      <w:tr w:rsidR="00890746" w:rsidRPr="00890746" w:rsidTr="00890746">
        <w:trPr>
          <w:trHeight w:val="503"/>
          <w:jc w:val="center"/>
        </w:trPr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46" w:rsidRPr="00890746" w:rsidRDefault="00890746" w:rsidP="00890746">
            <w:pPr>
              <w:keepNext/>
              <w:keepLines/>
              <w:spacing w:after="0" w:line="240" w:lineRule="auto"/>
              <w:ind w:left="438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КАИЛ/ОАИЛ ІІІ ниво на компетентност</w:t>
            </w:r>
          </w:p>
          <w:p w:rsidR="00890746" w:rsidRPr="00890746" w:rsidRDefault="00890746" w:rsidP="00890746">
            <w:pPr>
              <w:keepNext/>
              <w:keepLine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клиника/отделение по вътрешни болести ІІІ ниво на компетентност </w:t>
            </w:r>
          </w:p>
          <w:p w:rsidR="00890746" w:rsidRPr="00890746" w:rsidRDefault="00890746" w:rsidP="00890746">
            <w:pPr>
              <w:keepNext/>
              <w:keepLine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клиника/отделение по педиатрия ІІІ ниво на компетентност </w:t>
            </w:r>
          </w:p>
          <w:p w:rsidR="00890746" w:rsidRPr="00890746" w:rsidRDefault="00890746" w:rsidP="00890746">
            <w:pPr>
              <w:keepNext/>
              <w:keepLine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клиника/отделение по нервни болести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III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ниво на компетентност с осигурено 24 часово дежурство 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(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физическо присъствие в структурата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)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лекар/лекари със специалност анестезиология и интензивно лечение,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вътрешни болести, педиатрия или неврология в съответната структура. </w:t>
            </w:r>
          </w:p>
        </w:tc>
      </w:tr>
      <w:tr w:rsidR="00890746" w:rsidRPr="00890746" w:rsidTr="00890746">
        <w:trPr>
          <w:jc w:val="center"/>
        </w:trPr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Клинична лаборатория – минимум II ниво</w:t>
            </w:r>
          </w:p>
        </w:tc>
      </w:tr>
      <w:tr w:rsidR="00890746" w:rsidRPr="00890746" w:rsidTr="00890746">
        <w:trPr>
          <w:trHeight w:val="379"/>
          <w:jc w:val="center"/>
        </w:trPr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Образна диагностика - рентгенов апарат за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графия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890746" w:rsidRPr="00890746" w:rsidTr="00890746">
        <w:trPr>
          <w:jc w:val="center"/>
        </w:trPr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Микробиологична лаборатория</w:t>
            </w:r>
          </w:p>
        </w:tc>
      </w:tr>
    </w:tbl>
    <w:p w:rsidR="003F26B8" w:rsidRDefault="003F26B8" w:rsidP="003F26B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</w:p>
    <w:p w:rsidR="00890746" w:rsidRPr="003F26B8" w:rsidRDefault="003F26B8" w:rsidP="003F26B8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3F26B8">
        <w:rPr>
          <w:rFonts w:ascii="Times New Roman" w:eastAsia="Times New Roman" w:hAnsi="Times New Roman" w:cs="Times New Roman"/>
          <w:b/>
          <w:noProof/>
          <w:sz w:val="24"/>
          <w:szCs w:val="24"/>
        </w:rPr>
        <w:t>4.б.</w:t>
      </w:r>
      <w:r w:rsidRPr="003F26B8">
        <w:rPr>
          <w:rFonts w:ascii="Times New Roman" w:eastAsia="Times New Roman" w:hAnsi="Times New Roman" w:cs="Times New Roman"/>
          <w:b/>
          <w:sz w:val="24"/>
          <w:szCs w:val="24"/>
        </w:rPr>
        <w:t>НЕОБХОДИМИ СПЕЦИАЛИСТИ ЗА ИЗПЪЛНЕНИЕ НА КЛИНИЧНАТА ПЪТЕКА И ИЗИСКВАНИЯ ЗА ДОПЪЛНИТЕЛНА КВАЛИФИКАЦИЯ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890746" w:rsidRPr="003F26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ИЗПЪЛНЕНИЕ НА АМБУЛАТОРНАТА ПРОЦЕДУРА</w:t>
      </w:r>
      <w:r w:rsidR="00890746" w:rsidRPr="003F26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 xml:space="preserve"> 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МБАЛ с клиника по вътрешни болести/педиатрия ІІІ-ниво – лекари със специалност по вътрешни болести/педиатрия и втора специалност Пулмология/Детска пулмология. 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МБАЛ с отделение по нервни болести ІІІ-ниво – лекари със специалност по нервни болести или детска неврология. 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МБАЛ с КАИЛ/ОАИЛ ІІІ-ниво – лекари със специалност по анестезиология и интензивно лечение, съгласно медицински стандарт „Анестезиология и интензивно лечение“.</w:t>
      </w:r>
    </w:p>
    <w:p w:rsidR="003F26B8" w:rsidRPr="003F26B8" w:rsidRDefault="003F26B8" w:rsidP="003F26B8">
      <w:pPr>
        <w:keepNext/>
        <w:keepLines/>
        <w:spacing w:before="40"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F26B8">
        <w:rPr>
          <w:rFonts w:ascii="Arial" w:eastAsia="Times New Roman" w:hAnsi="Arial" w:cs="Times New Roman"/>
          <w:b/>
          <w:noProof/>
          <w:szCs w:val="20"/>
        </w:rPr>
        <w:t>5. ИНДИКАЦИИ ЗА ХОСПИТАЛИЗАЦИЯ И ДИАГНОСТИЧНО – ЛЕЧЕБЕН АЛГОРИТЪМ.</w:t>
      </w:r>
    </w:p>
    <w:p w:rsidR="003F26B8" w:rsidRPr="003F26B8" w:rsidRDefault="003F26B8" w:rsidP="003F26B8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</w:rPr>
      </w:pPr>
      <w:r w:rsidRPr="003F26B8">
        <w:rPr>
          <w:rFonts w:ascii="Times New Roman" w:eastAsia="Times New Roman" w:hAnsi="Times New Roman" w:cs="Times New Roman"/>
          <w:b/>
          <w:noProof/>
          <w:sz w:val="24"/>
          <w:szCs w:val="24"/>
          <w:lang w:val="en-GB"/>
        </w:rPr>
        <w:t>5.а. ИНДИКАЦИИ ЗА ХОСПИТАЛИЗАЦИЯ И ЛЕЧЕНИЕ</w:t>
      </w:r>
    </w:p>
    <w:p w:rsidR="00890746" w:rsidRPr="00890746" w:rsidRDefault="00890746" w:rsidP="00890746">
      <w:pPr>
        <w:keepNext/>
        <w:keepLines/>
        <w:tabs>
          <w:tab w:val="left" w:pos="0"/>
          <w:tab w:val="left" w:pos="2552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890746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 xml:space="preserve">Диагностични, лечебни и </w:t>
      </w:r>
      <w:proofErr w:type="spellStart"/>
      <w:r w:rsidRPr="00890746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>рехабилитационни</w:t>
      </w:r>
      <w:proofErr w:type="spellEnd"/>
      <w:r w:rsidRPr="00890746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 xml:space="preserve"> дейности и услуги в хода на амбулаторната процедура:</w:t>
      </w:r>
    </w:p>
    <w:p w:rsidR="00890746" w:rsidRPr="00890746" w:rsidRDefault="00890746" w:rsidP="00890746">
      <w:pPr>
        <w:keepNext/>
        <w:keepLines/>
        <w:tabs>
          <w:tab w:val="left" w:pos="0"/>
          <w:tab w:val="left" w:pos="2552"/>
        </w:tabs>
        <w:spacing w:after="0" w:line="240" w:lineRule="auto"/>
        <w:ind w:left="927" w:hanging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890746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 xml:space="preserve">- амбулаторно наблюдение на пациенти с </w:t>
      </w:r>
      <w:proofErr w:type="spellStart"/>
      <w:r w:rsidRPr="00890746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>невромускулни</w:t>
      </w:r>
      <w:proofErr w:type="spellEnd"/>
      <w:r w:rsidRPr="00890746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 xml:space="preserve"> заболявания и клинични признаци за хронична дихателна слабост, с вече назначено подпомагане на дишането с неинвазивна вентилация (CPAP или BIPAP), за проследяване ефективността на дихателното подпомагане според състоянието на пациента;</w:t>
      </w:r>
    </w:p>
    <w:p w:rsidR="00890746" w:rsidRPr="00890746" w:rsidRDefault="00890746" w:rsidP="00890746">
      <w:pPr>
        <w:keepNext/>
        <w:keepLines/>
        <w:tabs>
          <w:tab w:val="left" w:pos="0"/>
          <w:tab w:val="left" w:pos="2552"/>
        </w:tabs>
        <w:spacing w:after="0" w:line="240" w:lineRule="auto"/>
        <w:ind w:left="927" w:hanging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890746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>- обучение на пациента и неговите близки.</w:t>
      </w:r>
    </w:p>
    <w:p w:rsidR="00890746" w:rsidRPr="00890746" w:rsidRDefault="00890746" w:rsidP="00890746">
      <w:pPr>
        <w:keepNext/>
        <w:keepLines/>
        <w:tabs>
          <w:tab w:val="left" w:pos="0"/>
          <w:tab w:val="left" w:pos="2552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proofErr w:type="spellStart"/>
      <w:r w:rsidRPr="00890746">
        <w:rPr>
          <w:rFonts w:ascii="Verdana" w:eastAsia="Times New Roman" w:hAnsi="Verdana" w:cs="Times New Roman"/>
          <w:color w:val="000000"/>
          <w:sz w:val="24"/>
          <w:szCs w:val="24"/>
          <w:lang w:val="ru-RU" w:eastAsia="bg-BG"/>
        </w:rPr>
        <w:t>Забележка</w:t>
      </w:r>
      <w:proofErr w:type="spellEnd"/>
      <w:r w:rsidRPr="00890746">
        <w:rPr>
          <w:rFonts w:ascii="Verdana" w:eastAsia="Times New Roman" w:hAnsi="Verdana" w:cs="Times New Roman"/>
          <w:color w:val="000000"/>
          <w:sz w:val="24"/>
          <w:szCs w:val="24"/>
          <w:lang w:val="ru-RU" w:eastAsia="bg-BG"/>
        </w:rPr>
        <w:t xml:space="preserve">: </w:t>
      </w:r>
    </w:p>
    <w:p w:rsidR="00890746" w:rsidRPr="00890746" w:rsidRDefault="00890746" w:rsidP="00890746">
      <w:pPr>
        <w:keepNext/>
        <w:keepLines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НЗОК </w:t>
      </w:r>
      <w:proofErr w:type="spellStart"/>
      <w:r w:rsidRPr="00890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заплаща</w:t>
      </w:r>
      <w:proofErr w:type="spellEnd"/>
      <w:r w:rsidRPr="00890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890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еднократно</w:t>
      </w:r>
      <w:proofErr w:type="spellEnd"/>
      <w:r w:rsidRPr="00890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890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годишно</w:t>
      </w:r>
      <w:proofErr w:type="spellEnd"/>
      <w:r w:rsidRPr="00890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за лечение </w:t>
      </w:r>
      <w:proofErr w:type="gramStart"/>
      <w:r w:rsidRPr="00890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на</w:t>
      </w:r>
      <w:proofErr w:type="gramEnd"/>
      <w:r w:rsidRPr="00890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един пациент по </w:t>
      </w:r>
      <w:proofErr w:type="spellStart"/>
      <w:r w:rsidRPr="00890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амбулаторната</w:t>
      </w:r>
      <w:proofErr w:type="spellEnd"/>
      <w:r w:rsidRPr="00890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 xml:space="preserve"> процедура.</w:t>
      </w:r>
    </w:p>
    <w:p w:rsidR="003F26B8" w:rsidRPr="003F26B8" w:rsidRDefault="003F26B8" w:rsidP="003F26B8">
      <w:pPr>
        <w:keepNext/>
        <w:keepLines/>
        <w:spacing w:before="40" w:after="0" w:line="280" w:lineRule="atLeast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F26B8">
        <w:rPr>
          <w:rFonts w:ascii="Arial" w:eastAsia="Times New Roman" w:hAnsi="Arial" w:cs="Times New Roman"/>
          <w:b/>
          <w:noProof/>
          <w:szCs w:val="20"/>
        </w:rPr>
        <w:t>5.б. ДИАГНОСТИЧНО - ЛЕЧЕБЕН АЛГОРИТЪМ.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Диагностични, лечебни и рехабилитаци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softHyphen/>
        <w:t xml:space="preserve">онни дейности и услуги в хода на амбулаторната процедурата: </w:t>
      </w:r>
    </w:p>
    <w:p w:rsidR="00890746" w:rsidRPr="00890746" w:rsidRDefault="00890746" w:rsidP="00890746">
      <w:pPr>
        <w:keepNext/>
        <w:keepLines/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Symbol" w:eastAsia="Symbol" w:hAnsi="Symbol" w:cs="Symbol"/>
          <w:noProof/>
          <w:color w:val="000000"/>
          <w:sz w:val="24"/>
          <w:szCs w:val="24"/>
          <w:lang w:eastAsia="bg-BG"/>
        </w:rPr>
        <w:t></w:t>
      </w:r>
      <w:r w:rsidRPr="00890746">
        <w:rPr>
          <w:rFonts w:ascii="Times New Roman" w:eastAsia="Symbol" w:hAnsi="Times New Roman" w:cs="Times New Roman"/>
          <w:noProof/>
          <w:color w:val="000000"/>
          <w:sz w:val="24"/>
          <w:szCs w:val="24"/>
          <w:lang w:eastAsia="bg-BG"/>
        </w:rPr>
        <w:t xml:space="preserve"> 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амбулаторно наблюдение на пациенти с невромускулни заболявания и клинични признаци за хронична дихателна слабост, с вече назна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softHyphen/>
        <w:t xml:space="preserve">чено подпомагане на дишането с неинвазивна вентилация (CPAP или BIPAP), за проследяване ефективността на дихателното подпомагане според състоянието на пациента; </w:t>
      </w:r>
    </w:p>
    <w:p w:rsidR="00890746" w:rsidRPr="00890746" w:rsidRDefault="00890746" w:rsidP="00890746">
      <w:pPr>
        <w:keepNext/>
        <w:keepLines/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Symbol" w:eastAsia="Symbol" w:hAnsi="Symbol" w:cs="Symbol"/>
          <w:noProof/>
          <w:color w:val="000000"/>
          <w:sz w:val="24"/>
          <w:szCs w:val="24"/>
          <w:lang w:eastAsia="bg-BG"/>
        </w:rPr>
        <w:t></w:t>
      </w:r>
      <w:r w:rsidRPr="00890746">
        <w:rPr>
          <w:rFonts w:ascii="Times New Roman" w:eastAsia="Symbol" w:hAnsi="Times New Roman" w:cs="Times New Roman"/>
          <w:noProof/>
          <w:color w:val="000000"/>
          <w:sz w:val="24"/>
          <w:szCs w:val="24"/>
          <w:lang w:eastAsia="bg-BG"/>
        </w:rPr>
        <w:t xml:space="preserve"> 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обучение на пациента и неговите близки.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При паценти с невромускулни заболявания и в зависимост от амбулаторния им статус 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 w:eastAsia="bg-BG"/>
        </w:rPr>
        <w:t>(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двигателни функции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 w:eastAsia="bg-BG"/>
        </w:rPr>
        <w:t>)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 се препоръчва поне 1-2 пъти годишно изследване на форсиран витален капацитет в седнало положение, по преценка – измерване на кислородната сатурация чрез пулсоксиметрия и алкално-киселинното състояние. Възможните дихателни интервенции при пациенти с невромускулни заболявания в зависимост от конкретното функционално състояние включват: 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- Физиотерапевтични техники за подобряване на дихателните обеми при форсиран витален капацитет под 40% от очакваното или 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 w:eastAsia="bg-BG"/>
        </w:rPr>
        <w:t>&lt;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 1.25 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 w:eastAsia="bg-BG"/>
        </w:rPr>
        <w:t>L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.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- Техники за мануално или механично асистирано откашляне.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- Неинвазивна вентилация по време на нощен сън. Показана е при пациенти с някои от следните прояви: признаци или симптоми за хиповентилация 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 w:eastAsia="bg-BG"/>
        </w:rPr>
        <w:t>(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особено рискови са пациентите с форсиран витален капацитет под 30% от очакваното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 w:eastAsia="bg-BG"/>
        </w:rPr>
        <w:t>)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; базисно </w:t>
      </w:r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SpO2 &lt;95% и/или CO2 &gt;45 mm </w:t>
      </w:r>
      <w:proofErr w:type="spellStart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Hg</w:t>
      </w:r>
      <w:proofErr w:type="spellEnd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 в будно състояние; </w:t>
      </w:r>
      <w:proofErr w:type="spellStart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апнеа</w:t>
      </w:r>
      <w:proofErr w:type="spellEnd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/</w:t>
      </w:r>
      <w:proofErr w:type="spellStart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хипопнеа</w:t>
      </w:r>
      <w:proofErr w:type="spellEnd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 индекс над 10 за час при </w:t>
      </w:r>
      <w:proofErr w:type="spellStart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полисомнография</w:t>
      </w:r>
      <w:proofErr w:type="spellEnd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 или четири или повече епизода на SpO2 &lt;92% или спадания на SpO2 поне 4% за час сън; данни за значима сънна </w:t>
      </w:r>
      <w:proofErr w:type="spellStart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апнеа</w:t>
      </w:r>
      <w:proofErr w:type="spellEnd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 при </w:t>
      </w:r>
      <w:proofErr w:type="spellStart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полисомнография</w:t>
      </w:r>
      <w:proofErr w:type="spellEnd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.</w:t>
      </w:r>
    </w:p>
    <w:p w:rsidR="00890746" w:rsidRPr="00890746" w:rsidRDefault="00890746" w:rsidP="00AE3F72">
      <w:pPr>
        <w:keepNext/>
        <w:keepLines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bookmarkStart w:id="2" w:name="_GoBack"/>
      <w:bookmarkEnd w:id="2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- Неинвазивна вентилация през деня. Обикновено се прилага при пациенти вече поставени на вентилация по време на нощен сън и при: собствена преценка на пациента за нужда от продължаване на вентилирането и в будно състояние; проблеми с преглъщането поради </w:t>
      </w:r>
      <w:proofErr w:type="spellStart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диспнеата</w:t>
      </w:r>
      <w:proofErr w:type="spellEnd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, което се коригира чрез вентилаторно подпомагане; невъзможност да се изговори цяло изречение без задъхване и/или симптоми на </w:t>
      </w:r>
      <w:proofErr w:type="spellStart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хиповентилация</w:t>
      </w:r>
      <w:proofErr w:type="spellEnd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 и </w:t>
      </w: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базисно </w:t>
      </w:r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SpO2 &lt;95% и/или CO2 &gt;45 mm </w:t>
      </w:r>
      <w:proofErr w:type="spellStart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Hg</w:t>
      </w:r>
      <w:proofErr w:type="spellEnd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 в будно състояние. Продължителната неинвазивна вентилация </w:t>
      </w:r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val="ru-RU" w:eastAsia="bg-BG"/>
        </w:rPr>
        <w:t>(</w:t>
      </w:r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с </w:t>
      </w:r>
      <w:proofErr w:type="spellStart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асистирано</w:t>
      </w:r>
      <w:proofErr w:type="spellEnd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 подпомагане на </w:t>
      </w:r>
      <w:proofErr w:type="spellStart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откашлянето</w:t>
      </w:r>
      <w:proofErr w:type="spellEnd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val="ru-RU" w:eastAsia="bg-BG"/>
        </w:rPr>
        <w:t>)</w:t>
      </w:r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 може да подпомогне </w:t>
      </w:r>
      <w:proofErr w:type="spellStart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ендотрахеалната</w:t>
      </w:r>
      <w:proofErr w:type="spellEnd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екстубация</w:t>
      </w:r>
      <w:proofErr w:type="spellEnd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 при пациенти </w:t>
      </w:r>
      <w:proofErr w:type="spellStart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>интубирани</w:t>
      </w:r>
      <w:proofErr w:type="spellEnd"/>
      <w:r w:rsidRPr="00890746">
        <w:rPr>
          <w:rFonts w:ascii="Times New Roman" w:eastAsia="Shaker2Lancet-Regular" w:hAnsi="Times New Roman" w:cs="Times New Roman"/>
          <w:color w:val="000000"/>
          <w:sz w:val="24"/>
          <w:szCs w:val="24"/>
          <w:lang w:eastAsia="bg-BG"/>
        </w:rPr>
        <w:t xml:space="preserve"> по време на остро заболяване или по време на анестезия, което да се последва при възможност от неинвазивна вентилация по време на нощен сън.</w:t>
      </w:r>
    </w:p>
    <w:p w:rsidR="00890746" w:rsidRPr="00890746" w:rsidRDefault="001B44C2" w:rsidP="00890746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  <w:t>7.</w:t>
      </w:r>
      <w:r w:rsidR="00890746" w:rsidRPr="00890746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  <w:t xml:space="preserve"> ПРИКЛЮЧВАНЕ НА АМБУЛАТОРНАТА ПРОЦЕДУРА И ОПРЕДЕЛЯНЕ НА СЛЕДБОЛНИЧЕН РЕЖИМ.</w:t>
      </w:r>
    </w:p>
    <w:p w:rsidR="00890746" w:rsidRPr="00890746" w:rsidRDefault="00890746" w:rsidP="00890746">
      <w:pPr>
        <w:keepNext/>
        <w:keepLines/>
        <w:adjustRightInd w:val="0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bg-BG"/>
        </w:rPr>
        <w:t xml:space="preserve">Диагностични, лечебни и </w:t>
      </w:r>
      <w:proofErr w:type="spellStart"/>
      <w:r w:rsidRPr="00890746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bg-BG"/>
        </w:rPr>
        <w:t>рехабилитационни</w:t>
      </w:r>
      <w:proofErr w:type="spellEnd"/>
      <w:r w:rsidRPr="00890746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bg-BG"/>
        </w:rPr>
        <w:t xml:space="preserve"> дейности и услуги при приключване на амбулаторната процедура:</w:t>
      </w:r>
    </w:p>
    <w:p w:rsidR="00890746" w:rsidRPr="00890746" w:rsidRDefault="00890746" w:rsidP="00890746">
      <w:pPr>
        <w:keepNext/>
        <w:keepLines/>
        <w:adjustRightInd w:val="0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bg-BG"/>
        </w:rPr>
        <w:t>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 стабилно общо състояние (клинични/</w:t>
      </w:r>
      <w:proofErr w:type="spellStart"/>
      <w:r w:rsidRPr="00890746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bg-BG"/>
        </w:rPr>
        <w:t>параклинични</w:t>
      </w:r>
      <w:proofErr w:type="spellEnd"/>
      <w:r w:rsidRPr="00890746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bg-BG"/>
        </w:rPr>
        <w:t>) и:</w:t>
      </w:r>
    </w:p>
    <w:p w:rsidR="00890746" w:rsidRPr="00890746" w:rsidRDefault="00890746" w:rsidP="00890746">
      <w:pPr>
        <w:keepNext/>
        <w:keepLines/>
        <w:adjustRightInd w:val="0"/>
        <w:spacing w:after="0" w:line="240" w:lineRule="auto"/>
        <w:ind w:left="1287" w:hanging="360"/>
        <w:contextualSpacing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890746">
        <w:rPr>
          <w:rFonts w:ascii="Symbol" w:eastAsia="Symbol" w:hAnsi="Symbol" w:cs="Symbol"/>
          <w:snapToGrid w:val="0"/>
          <w:color w:val="000000"/>
          <w:sz w:val="24"/>
          <w:szCs w:val="24"/>
          <w:lang w:eastAsia="bg-BG"/>
        </w:rPr>
        <w:t></w:t>
      </w:r>
      <w:r w:rsidRPr="00890746">
        <w:rPr>
          <w:rFonts w:ascii="Verdana" w:eastAsia="Symbol" w:hAnsi="Verdana" w:cs="Times New Roman"/>
          <w:snapToGrid w:val="0"/>
          <w:color w:val="000000"/>
          <w:sz w:val="24"/>
          <w:szCs w:val="24"/>
          <w:lang w:eastAsia="bg-BG"/>
        </w:rPr>
        <w:t xml:space="preserve"> </w:t>
      </w:r>
      <w:r w:rsidRPr="00890746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>компенсиране на дихателната недостатъчност с апаратна вентилация (</w:t>
      </w:r>
      <w:proofErr w:type="spellStart"/>
      <w:r w:rsidRPr="00890746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>BiPAP</w:t>
      </w:r>
      <w:proofErr w:type="spellEnd"/>
      <w:r w:rsidRPr="00890746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 xml:space="preserve"> или CPAP) според актуалното състояние на пациента с оглед очаквания прогресиращ ход на заболяването;</w:t>
      </w:r>
    </w:p>
    <w:p w:rsidR="00890746" w:rsidRPr="00890746" w:rsidRDefault="00890746" w:rsidP="00890746">
      <w:pPr>
        <w:keepNext/>
        <w:keepLines/>
        <w:adjustRightInd w:val="0"/>
        <w:spacing w:after="0" w:line="240" w:lineRule="auto"/>
        <w:ind w:left="1287" w:hanging="360"/>
        <w:contextualSpacing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890746">
        <w:rPr>
          <w:rFonts w:ascii="Symbol" w:eastAsia="Symbol" w:hAnsi="Symbol" w:cs="Symbol"/>
          <w:snapToGrid w:val="0"/>
          <w:color w:val="000000"/>
          <w:sz w:val="24"/>
          <w:szCs w:val="24"/>
          <w:lang w:eastAsia="bg-BG"/>
        </w:rPr>
        <w:t></w:t>
      </w:r>
      <w:r w:rsidRPr="00890746">
        <w:rPr>
          <w:rFonts w:ascii="Verdana" w:eastAsia="Symbol" w:hAnsi="Verdana" w:cs="Times New Roman"/>
          <w:snapToGrid w:val="0"/>
          <w:color w:val="000000"/>
          <w:sz w:val="24"/>
          <w:szCs w:val="24"/>
          <w:lang w:eastAsia="bg-BG"/>
        </w:rPr>
        <w:t xml:space="preserve"> </w:t>
      </w:r>
      <w:r w:rsidRPr="00890746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>обучен асистент/близък на пациента за проследяване на вентилацията в домашни условия.</w:t>
      </w:r>
      <w:r w:rsidRPr="00890746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val="ru-RU" w:eastAsia="bg-BG"/>
        </w:rPr>
        <w:t xml:space="preserve"> </w:t>
      </w:r>
      <w:r w:rsidRPr="00890746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eastAsia="bg-BG"/>
        </w:rPr>
        <w:t>Процедурата се прилага по отношение на пациентите самостоятелно</w:t>
      </w:r>
      <w:r w:rsidRPr="00890746">
        <w:rPr>
          <w:rFonts w:ascii="Verdana" w:eastAsia="Times New Roman" w:hAnsi="Verdana" w:cs="Times New Roman"/>
          <w:snapToGrid w:val="0"/>
          <w:color w:val="000000"/>
          <w:sz w:val="24"/>
          <w:szCs w:val="24"/>
          <w:lang w:val="en-US" w:eastAsia="bg-BG"/>
        </w:rPr>
        <w:t xml:space="preserve">. </w:t>
      </w:r>
    </w:p>
    <w:p w:rsidR="00890746" w:rsidRPr="00890746" w:rsidRDefault="00890746" w:rsidP="00890746">
      <w:pPr>
        <w:keepNext/>
        <w:keepLines/>
        <w:adjustRightInd w:val="0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  <w:t>Престоят на пациента по амбулаторната процедура не се счита за престой по клинична пътека.</w:t>
      </w:r>
    </w:p>
    <w:p w:rsidR="00890746" w:rsidRPr="00890746" w:rsidRDefault="001B44C2" w:rsidP="00890746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noProof/>
          <w:color w:val="000000"/>
          <w:sz w:val="24"/>
          <w:szCs w:val="24"/>
          <w:lang w:val="ru-RU" w:eastAsia="bg-BG"/>
        </w:rPr>
        <w:t>8</w:t>
      </w:r>
      <w:r w:rsidR="00890746" w:rsidRPr="00890746">
        <w:rPr>
          <w:rFonts w:ascii="Times New Roman" w:eastAsia="Times New Roman" w:hAnsi="Times New Roman" w:cs="Times New Roman"/>
          <w:b/>
          <w:caps/>
          <w:noProof/>
          <w:color w:val="000000"/>
          <w:sz w:val="24"/>
          <w:szCs w:val="24"/>
          <w:lang w:val="ru-RU" w:eastAsia="bg-BG"/>
        </w:rPr>
        <w:t xml:space="preserve">. </w:t>
      </w:r>
      <w:r w:rsidR="00890746" w:rsidRPr="00890746">
        <w:rPr>
          <w:rFonts w:ascii="Times New Roman" w:eastAsia="Times New Roman" w:hAnsi="Times New Roman" w:cs="Times New Roman"/>
          <w:b/>
          <w:caps/>
          <w:noProof/>
          <w:color w:val="000000"/>
          <w:sz w:val="24"/>
          <w:szCs w:val="24"/>
          <w:u w:val="single"/>
          <w:lang w:val="ru-RU" w:eastAsia="bg-BG"/>
        </w:rPr>
        <w:t>Документиране на дейностите по ПРОЦЕДУРАТА</w:t>
      </w:r>
    </w:p>
    <w:p w:rsidR="00890746" w:rsidRPr="00890746" w:rsidRDefault="001B44C2" w:rsidP="00890746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  <w:t>8.</w:t>
      </w:r>
      <w:r w:rsidR="00890746" w:rsidRPr="00890746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  <w:t>1.</w:t>
      </w:r>
      <w:r w:rsidR="00890746"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 </w:t>
      </w:r>
      <w:r w:rsidR="00890746" w:rsidRPr="00890746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  <w:t>ЛЕЧЕНИЕТО НА ПАЦИЕНТА</w:t>
      </w:r>
      <w:r w:rsidR="00890746"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 се документира в „Медицинско направление за клинични процедури/амбулаторни процедури” (бл.МЗ-НЗОК № 8).</w:t>
      </w:r>
    </w:p>
    <w:p w:rsidR="00890746" w:rsidRPr="00890746" w:rsidRDefault="001B44C2" w:rsidP="00890746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8.</w:t>
      </w:r>
      <w:r w:rsidR="00890746"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2.</w:t>
      </w:r>
      <w:r w:rsidR="00890746" w:rsidRPr="00890746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  <w:t xml:space="preserve"> ДЕКЛАРАЦИЯ ЗА ИНФОРМИРАНО СЪГЛАСИЕ</w:t>
      </w:r>
      <w:r w:rsidR="00890746" w:rsidRPr="00890746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ru-RU" w:eastAsia="bg-BG"/>
        </w:rPr>
        <w:t xml:space="preserve"> </w:t>
      </w:r>
      <w:r w:rsidR="00890746"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– подписва се от родителя/настойника.</w:t>
      </w:r>
    </w:p>
    <w:p w:rsidR="00890746" w:rsidRPr="00890746" w:rsidRDefault="001B44C2" w:rsidP="00890746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8.</w:t>
      </w:r>
      <w:r w:rsidR="00890746"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3. ОТЧИТАНЕТО се извършва с „Медицинско направление за клинични процедури/амбулаторни процедури” (бл.МЗ-НЗОК № 8) и електронен отчет в определен формат, съгласно изискванията на НЗОК.</w:t>
      </w:r>
    </w:p>
    <w:p w:rsidR="00890746" w:rsidRPr="00890746" w:rsidRDefault="00890746" w:rsidP="00890746">
      <w:pPr>
        <w:keepNext/>
        <w:keepLines/>
        <w:tabs>
          <w:tab w:val="left" w:pos="360"/>
        </w:tabs>
        <w:spacing w:before="100" w:beforeAutospacing="1" w:after="0" w:line="240" w:lineRule="auto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x-none"/>
        </w:rPr>
        <w:t>Документите се съхраняват в лечебното заведение за целите на контрола от оторизираните институции.</w:t>
      </w:r>
    </w:p>
    <w:p w:rsidR="00890746" w:rsidRPr="00890746" w:rsidRDefault="00890746" w:rsidP="00890746">
      <w:pPr>
        <w:keepNext/>
        <w:keepLines/>
        <w:tabs>
          <w:tab w:val="left" w:pos="540"/>
        </w:tabs>
        <w:spacing w:after="0" w:line="240" w:lineRule="auto"/>
        <w:ind w:firstLine="990"/>
        <w:jc w:val="right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890746">
        <w:rPr>
          <w:rFonts w:ascii="Verdana" w:eastAsia="Times New Roman" w:hAnsi="Verdana" w:cs="Times New Roman"/>
          <w:b/>
          <w:color w:val="000000"/>
          <w:sz w:val="24"/>
          <w:szCs w:val="24"/>
          <w:lang w:val="ru-RU" w:eastAsia="bg-BG"/>
        </w:rPr>
        <w:t>ДОКУМЕНТ № 4</w:t>
      </w:r>
    </w:p>
    <w:p w:rsidR="00890746" w:rsidRPr="00890746" w:rsidRDefault="00890746" w:rsidP="00890746">
      <w:pPr>
        <w:keepNext/>
        <w:keepLines/>
        <w:tabs>
          <w:tab w:val="left" w:pos="567"/>
        </w:tabs>
        <w:spacing w:before="120" w:after="240" w:line="280" w:lineRule="atLeast"/>
        <w:ind w:firstLine="99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ru-RU" w:eastAsia="bg-BG"/>
        </w:rPr>
        <w:t>ИНФОРМАЦИЯ ЗА ПАЦИЕНТА (родителя /настойника/Попечителя)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 някои </w:t>
      </w:r>
      <w:proofErr w:type="spellStart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невромускулни</w:t>
      </w:r>
      <w:proofErr w:type="spellEnd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заболявания със засягане на диафрагмата или дихателните мускули и с напредване на заболяването се препоръчва поне два пъти годишно изследване на дихателните функции. Това включва изследване на форсиран витален капацитет, </w:t>
      </w:r>
      <w:proofErr w:type="spellStart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пулсоксиметрия</w:t>
      </w:r>
      <w:proofErr w:type="spellEnd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капнография</w:t>
      </w:r>
      <w:proofErr w:type="spellEnd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АКР, при нужда – полиграфски запис или </w:t>
      </w:r>
      <w:proofErr w:type="spellStart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полисомнография</w:t>
      </w:r>
      <w:proofErr w:type="spellEnd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поради развитие на дихателна слабост първоначално по време на нощен сън. Целта е дихателното подпомагане да започне навреме за да се намали риска от спешни приемания в болница за тежки дихателни инфекции и да продължи в домашни условия. Дихателното подпомагане се осъществява по следните стъпки – усвояване на техники за подобряване на </w:t>
      </w:r>
      <w:proofErr w:type="spellStart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откашлянето</w:t>
      </w:r>
      <w:proofErr w:type="spellEnd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увеличаване на дихателните обеми, неинвазивна вентилация. В случаите с поставяне на неинвазивна вентилация е необходим престой на болния в стационар за свикване с апарата и обучение на асистенти за обслужване в къщи. Пациентите периодично /1-2 пъти годишно/ или при промяна в състоянието трябва да постъпват за оценка на дихателното подпомагане, което може да се извършва по настоящата Процедура.</w:t>
      </w:r>
    </w:p>
    <w:p w:rsidR="00890746" w:rsidRPr="00890746" w:rsidRDefault="00890746" w:rsidP="00890746">
      <w:pPr>
        <w:keepNext/>
        <w:keepLines/>
        <w:spacing w:before="40" w:after="0" w:line="240" w:lineRule="auto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proofErr w:type="spellStart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Подтискане</w:t>
      </w:r>
      <w:proofErr w:type="spellEnd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дихателната активност при невъзможност за повлияване от неинвазивната вентилация изисква преценка за осигуряване на проходимост на дихателните пътища и включване на изкуствена (механична) белодробна вентилация (МВ). </w:t>
      </w:r>
    </w:p>
    <w:p w:rsidR="00890746" w:rsidRPr="00890746" w:rsidRDefault="00890746" w:rsidP="00890746">
      <w:pPr>
        <w:keepNext/>
        <w:keepLines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напредване на заболяването са необходими общи грижи: хранене, активни аспирации, тоалет на дихателните пътища, промени на положението в леглото и специфични грижи за болен на изкуствена белодробна вентилация с обучение на асистент за изписване в домашни условия.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 лечението се осигурява спазване правата на пациента, установени в Закона за здравето. 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Правата на пациента се упражняват при спазване на Правилника за устройството, дейността и вътрешния ред на лечебното заведение. </w:t>
      </w:r>
    </w:p>
    <w:p w:rsidR="00890746" w:rsidRPr="00890746" w:rsidRDefault="00890746" w:rsidP="00890746">
      <w:pPr>
        <w:keepNext/>
        <w:keepLines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Пациентът се </w:t>
      </w:r>
      <w:proofErr w:type="spellStart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дехоспитализира</w:t>
      </w:r>
      <w:proofErr w:type="spellEnd"/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след подобрение на основните жизнени функции. </w:t>
      </w:r>
    </w:p>
    <w:p w:rsidR="00890746" w:rsidRPr="00890746" w:rsidRDefault="00890746" w:rsidP="00890746">
      <w:pPr>
        <w:keepNext/>
        <w:keepLines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Ако желаете да откажете лечение на Вашия близък, това трябва да направите писмено, с което да поемете рисковете за това действие.</w:t>
      </w:r>
    </w:p>
    <w:p w:rsidR="00890746" w:rsidRPr="00890746" w:rsidRDefault="00890746" w:rsidP="00890746">
      <w:pPr>
        <w:keepNext/>
        <w:keepLines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След като прочетох горното, декларирам че съм информиран/а за заболяването, лечението, възможните усложнения, финансовите страни, както и за условията в болницата. Информиран съм и обучен за необходимите грижи в домашни условия.</w:t>
      </w:r>
    </w:p>
    <w:tbl>
      <w:tblPr>
        <w:tblW w:w="0" w:type="auto"/>
        <w:tblInd w:w="75" w:type="dxa"/>
        <w:tblLook w:val="04A0" w:firstRow="1" w:lastRow="0" w:firstColumn="1" w:lastColumn="0" w:noHBand="0" w:noVBand="1"/>
      </w:tblPr>
      <w:tblGrid>
        <w:gridCol w:w="9213"/>
      </w:tblGrid>
      <w:tr w:rsidR="00890746" w:rsidRPr="00890746" w:rsidTr="00890746">
        <w:tc>
          <w:tcPr>
            <w:tcW w:w="9778" w:type="dxa"/>
            <w:hideMark/>
          </w:tcPr>
          <w:p w:rsidR="00890746" w:rsidRPr="00890746" w:rsidRDefault="00890746" w:rsidP="00890746">
            <w:pPr>
              <w:keepNext/>
              <w:keepLines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Име</w:t>
            </w:r>
            <w:proofErr w:type="spellEnd"/>
            <w:proofErr w:type="gram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......................................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proofErr w:type="gram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Презиме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.................................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Фамилия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...............................</w:t>
            </w:r>
          </w:p>
        </w:tc>
      </w:tr>
      <w:tr w:rsidR="00890746" w:rsidRPr="00890746" w:rsidTr="00890746">
        <w:tc>
          <w:tcPr>
            <w:tcW w:w="9778" w:type="dxa"/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c>
          <w:tcPr>
            <w:tcW w:w="9778" w:type="dxa"/>
            <w:hideMark/>
          </w:tcPr>
          <w:p w:rsidR="00890746" w:rsidRPr="00890746" w:rsidRDefault="00890746" w:rsidP="00890746">
            <w:pPr>
              <w:keepNext/>
              <w:keepLines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Роднинска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връзка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.............................................................................................................</w:t>
            </w:r>
          </w:p>
        </w:tc>
      </w:tr>
      <w:tr w:rsidR="00890746" w:rsidRPr="00890746" w:rsidTr="00890746">
        <w:tc>
          <w:tcPr>
            <w:tcW w:w="9778" w:type="dxa"/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c>
          <w:tcPr>
            <w:tcW w:w="9778" w:type="dxa"/>
            <w:hideMark/>
          </w:tcPr>
          <w:p w:rsidR="00890746" w:rsidRPr="00890746" w:rsidRDefault="00890746" w:rsidP="00890746">
            <w:pPr>
              <w:keepNext/>
              <w:keepLines/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Дата</w:t>
            </w:r>
            <w:proofErr w:type="gram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.....................................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proofErr w:type="gram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Подпис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....................</w:t>
            </w:r>
          </w:p>
        </w:tc>
      </w:tr>
    </w:tbl>
    <w:p w:rsidR="00890746" w:rsidRPr="00890746" w:rsidRDefault="00890746" w:rsidP="00890746">
      <w:pPr>
        <w:keepNext/>
        <w:keepLines/>
        <w:spacing w:before="100" w:beforeAutospacing="1" w:after="0" w:line="360" w:lineRule="auto"/>
        <w:ind w:firstLine="99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07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ОТЧЕТЕН ЛИСТ ЗА ЛЕЧЕНИЕ </w:t>
      </w:r>
    </w:p>
    <w:tbl>
      <w:tblPr>
        <w:tblW w:w="9039" w:type="dxa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4441"/>
        <w:gridCol w:w="2545"/>
      </w:tblGrid>
      <w:tr w:rsidR="00890746" w:rsidRPr="00890746" w:rsidTr="00890746">
        <w:trPr>
          <w:jc w:val="center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Пациент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ЕГН</w:t>
            </w:r>
          </w:p>
        </w:tc>
      </w:tr>
      <w:tr w:rsidR="00890746" w:rsidRPr="00890746" w:rsidTr="00890746">
        <w:trPr>
          <w:jc w:val="center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Клинична пътека 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(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наименование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КП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№</w:t>
            </w:r>
          </w:p>
        </w:tc>
      </w:tr>
      <w:tr w:rsidR="00890746" w:rsidRPr="00890746" w:rsidTr="00890746">
        <w:trPr>
          <w:jc w:val="center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Диагноза</w:t>
            </w: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- код МКБ 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6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Приложени медицински процедури по МКБ 9 КМ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Пролежани дни по КП от.....до....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(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дати/час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Брой пролежани дни по КП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В Клиника/отделение 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(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наименование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Стая №/легло 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Пролежани дни по амбулаторна процедура с прилагано лечение от.....до....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(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дати/час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Брой пролежани дни 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(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леглодни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 xml:space="preserve">) 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по амбулаторна процедура с прилагано лечение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В Клиника/отделение 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(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наименование</w:t>
            </w: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)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Стая/зала №/ легло 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2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I</w:t>
            </w: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bg-BG"/>
              </w:rPr>
              <w:t xml:space="preserve">. </w:t>
            </w: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Група индикации</w:t>
            </w: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за хоспитализация</w:t>
            </w:r>
          </w:p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bg-BG"/>
              </w:rPr>
              <w:t>(</w:t>
            </w: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Тежест на състоянието при хоспитализация</w:t>
            </w: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bg-BG"/>
              </w:rPr>
              <w:t>)</w:t>
            </w:r>
          </w:p>
        </w:tc>
        <w:tc>
          <w:tcPr>
            <w:tcW w:w="44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Характеристика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Регистриране</w:t>
            </w:r>
          </w:p>
        </w:tc>
      </w:tr>
      <w:tr w:rsidR="00890746" w:rsidRPr="00890746" w:rsidTr="00890746">
        <w:trPr>
          <w:trHeight w:val="2496"/>
          <w:jc w:val="center"/>
        </w:trPr>
        <w:tc>
          <w:tcPr>
            <w:tcW w:w="20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44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bg-BG"/>
              </w:rPr>
              <w:t xml:space="preserve">Пациенти с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bg-BG"/>
              </w:rPr>
              <w:t>невромускулни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bg-BG"/>
              </w:rPr>
              <w:t xml:space="preserve"> заболявания и клинични признаци за хронична дихателна слабост, с вече назначено подпомагане на дишането с неинвазивна вентилация </w:t>
            </w:r>
            <w:r w:rsidRPr="00890746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bg-BG"/>
              </w:rPr>
              <w:t>(</w:t>
            </w:r>
            <w:r w:rsidRPr="00890746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bg-BG"/>
              </w:rPr>
              <w:t>CPAP</w:t>
            </w:r>
            <w:r w:rsidRPr="00890746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r w:rsidRPr="00890746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bg-BG"/>
              </w:rPr>
              <w:t xml:space="preserve">или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bg-BG"/>
              </w:rPr>
              <w:t>BiPAP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ru-RU" w:eastAsia="bg-BG"/>
              </w:rPr>
              <w:t>)</w:t>
            </w:r>
            <w:r w:rsidRPr="00890746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bg-BG"/>
              </w:rPr>
              <w:t xml:space="preserve"> за проследяване на състоянието в стационарни условия. 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after="0" w:line="360" w:lineRule="auto"/>
              <w:ind w:left="927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2. </w:t>
            </w:r>
          </w:p>
        </w:tc>
      </w:tr>
      <w:tr w:rsidR="00890746" w:rsidRPr="00890746" w:rsidTr="00890746">
        <w:trPr>
          <w:jc w:val="center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Пациенти, вече поставени на неинвазивна вентилация с клинични или лабораторни признаци за </w:t>
            </w:r>
            <w:proofErr w:type="spellStart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декомпенсиране</w:t>
            </w:r>
            <w:proofErr w:type="spellEnd"/>
            <w:r w:rsidRPr="00890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дихателните функции и нужда от промяна режима на неинвазивно вентилиране. 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after="0" w:line="360" w:lineRule="auto"/>
              <w:ind w:left="927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bg-BG"/>
              </w:rPr>
              <w:t xml:space="preserve">3. </w:t>
            </w:r>
          </w:p>
        </w:tc>
      </w:tr>
    </w:tbl>
    <w:p w:rsidR="00890746" w:rsidRPr="00890746" w:rsidRDefault="00890746" w:rsidP="00890746">
      <w:pPr>
        <w:spacing w:after="0" w:line="240" w:lineRule="auto"/>
        <w:jc w:val="center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</w:p>
    <w:tbl>
      <w:tblPr>
        <w:tblW w:w="0" w:type="auto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0"/>
        <w:gridCol w:w="3060"/>
      </w:tblGrid>
      <w:tr w:rsidR="00890746" w:rsidRPr="00890746" w:rsidTr="00890746">
        <w:trPr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Управител/директор на лечебното заведение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Началник на отделение/клиника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90746" w:rsidRPr="00890746" w:rsidTr="00890746">
        <w:trPr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keepNext/>
              <w:keepLines/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90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Лекуващ лекар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6" w:rsidRPr="00890746" w:rsidRDefault="00890746" w:rsidP="00890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9369B7" w:rsidRDefault="009369B7"/>
    <w:sectPr w:rsidR="00936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aker2Lancet-Regular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60"/>
    <w:rsid w:val="001B44C2"/>
    <w:rsid w:val="003F26B8"/>
    <w:rsid w:val="0071118C"/>
    <w:rsid w:val="00823905"/>
    <w:rsid w:val="00890746"/>
    <w:rsid w:val="009369B7"/>
    <w:rsid w:val="00A52E23"/>
    <w:rsid w:val="00AC5DB1"/>
    <w:rsid w:val="00AE3F72"/>
    <w:rsid w:val="00BB7E56"/>
    <w:rsid w:val="00C314A0"/>
    <w:rsid w:val="00D11DA2"/>
    <w:rsid w:val="00EE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3F26B8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3F26B8"/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3F26B8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3F26B8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2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13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0854078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2371</Words>
  <Characters>13517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АМБУЛАТОРНА ПРОЦЕДУРА № 10 НАБЛЮДЕНИЕ ПРИ ПАЦИЕНТИ С НЕВРОМУСКУЛНИ ЗАБОЛЯВАНИЯ Н</vt:lpstr>
    </vt:vector>
  </TitlesOfParts>
  <Company>NZOK</Company>
  <LinksUpToDate>false</LinksUpToDate>
  <CharactersWithSpaces>15857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Тенчева</dc:creator>
  <cp:keywords/>
  <dc:description/>
  <cp:lastModifiedBy>Асен Николов Божков</cp:lastModifiedBy>
  <cp:revision>6</cp:revision>
  <dcterms:created xsi:type="dcterms:W3CDTF">2020-03-16T14:10:00Z</dcterms:created>
  <dcterms:modified xsi:type="dcterms:W3CDTF">2022-10-31T12:01:00Z</dcterms:modified>
</cp:coreProperties>
</file>