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C3" w:rsidRDefault="00C647C3" w:rsidP="00C647C3">
      <w:pPr>
        <w:spacing w:before="450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</w:pPr>
      <w:bookmarkStart w:id="0" w:name="to_paragraph_id42645860"/>
      <w:bookmarkEnd w:id="0"/>
      <w:r w:rsidRPr="00C647C3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  <w:t>АМБУЛАТОРНА ПРОЦЕДУРА № 41 АМБУЛАТОРНО ЛЕЧЕНИЕ И КОНТРОЛ ПРИ ТУБЕРОЗНА СКЛЕРОЗА</w:t>
      </w:r>
    </w:p>
    <w:p w:rsidR="007F78FA" w:rsidRPr="00C647C3" w:rsidRDefault="007F78FA" w:rsidP="00C647C3">
      <w:pPr>
        <w:spacing w:before="450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</w:pPr>
    </w:p>
    <w:p w:rsidR="004B5D89" w:rsidRPr="004B5D89" w:rsidRDefault="004B5D89" w:rsidP="007F78FA">
      <w:pPr>
        <w:keepNext/>
        <w:keepLines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bookmarkStart w:id="1" w:name="to_paragraph_id42645861"/>
      <w:bookmarkEnd w:id="1"/>
      <w:r w:rsidRPr="004B5D89">
        <w:rPr>
          <w:b/>
          <w:noProof/>
        </w:rPr>
        <w:t>2.1.КОДОВЕ НА БОЛЕСТИ ПО МКБ-10</w:t>
      </w:r>
    </w:p>
    <w:p w:rsidR="00C647C3" w:rsidRPr="00C647C3" w:rsidRDefault="00C647C3" w:rsidP="00C647C3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tbl>
      <w:tblPr>
        <w:tblW w:w="9519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25" w:type="dxa"/>
          <w:left w:w="0" w:type="dxa"/>
          <w:bottom w:w="225" w:type="dxa"/>
          <w:right w:w="0" w:type="dxa"/>
        </w:tblCellMar>
        <w:tblLook w:val="01E0" w:firstRow="1" w:lastRow="1" w:firstColumn="1" w:lastColumn="1" w:noHBand="0" w:noVBand="0"/>
      </w:tblPr>
      <w:tblGrid>
        <w:gridCol w:w="9519"/>
      </w:tblGrid>
      <w:tr w:rsidR="00C647C3" w:rsidRPr="00C647C3" w:rsidTr="00C647C3">
        <w:trPr>
          <w:jc w:val="center"/>
        </w:trPr>
        <w:tc>
          <w:tcPr>
            <w:tcW w:w="9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Ind w:w="75" w:type="dxa"/>
              <w:tblLook w:val="01E0" w:firstRow="1" w:lastRow="1" w:firstColumn="1" w:lastColumn="1" w:noHBand="0" w:noVBand="0"/>
            </w:tblPr>
            <w:tblGrid>
              <w:gridCol w:w="9015"/>
            </w:tblGrid>
            <w:tr w:rsidR="00C647C3" w:rsidRPr="00C647C3">
              <w:trPr>
                <w:jc w:val="center"/>
              </w:trPr>
              <w:tc>
                <w:tcPr>
                  <w:tcW w:w="9015" w:type="dxa"/>
                  <w:hideMark/>
                </w:tcPr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Последващо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 xml:space="preserve"> изследване след лечение на състояния, които не се отнасят до злокачествени новообразувания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Включва: медицинско наблюдение и контрол след лечението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Не включва: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последваща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медицинска помощ и състояние на оздравяване (Z42—Z51, Z54.—) медицинско наблюдение и контрол след лечение на злокачествено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новообразувание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(Z08.—)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контрол върху: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контрацепцията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(Z30.4—Z30.5)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протези и други медицински устройства (Z44—Z46)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Z09.7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Последващо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изследване след комбинирано лечение по повод на други състояния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Факоматози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, некласифицирани другаде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  <w:t>Не включва:</w:t>
                  </w: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атаксия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-</w:t>
                  </w: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телангиектазия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[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Louis-Bar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] (G11.3)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  <w:t xml:space="preserve">семейна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дисавтономия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[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Riley-Day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] (G90.1)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Q85.1</w:t>
                  </w: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Туберозна</w:t>
                  </w:r>
                  <w:proofErr w:type="spellEnd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склероза</w:t>
                  </w:r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  <w:t xml:space="preserve">Болест на </w:t>
                  </w:r>
                  <w:proofErr w:type="spellStart"/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Bourneville</w:t>
                  </w:r>
                  <w:proofErr w:type="spellEnd"/>
                </w:p>
                <w:p w:rsidR="00C647C3" w:rsidRPr="00C647C3" w:rsidRDefault="00C647C3" w:rsidP="00C647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C647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ab/>
                  </w:r>
                </w:p>
              </w:tc>
            </w:tr>
            <w:tr w:rsidR="00C647C3" w:rsidRPr="00C647C3">
              <w:trPr>
                <w:jc w:val="center"/>
              </w:trPr>
              <w:tc>
                <w:tcPr>
                  <w:tcW w:w="9015" w:type="dxa"/>
                  <w:hideMark/>
                </w:tcPr>
                <w:p w:rsidR="00C647C3" w:rsidRPr="00C647C3" w:rsidRDefault="00C647C3" w:rsidP="00C647C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C647C3" w:rsidRPr="00C647C3" w:rsidRDefault="00C647C3" w:rsidP="00C647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4B5D89" w:rsidRPr="00890746" w:rsidRDefault="004B5D89" w:rsidP="004B5D89">
      <w:pPr>
        <w:keepNext/>
        <w:keepLines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КОДОВЕ НА ОСНОВНИ ПРОЦЕДУРИ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C647C3" w:rsidRPr="00C647C3" w:rsidTr="007F78FA">
        <w:trPr>
          <w:trHeight w:val="855"/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D89" w:rsidRPr="003F26B8" w:rsidRDefault="004B5D89" w:rsidP="004B5D89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2.2. основни диагностични процедури - Приложения № 21 и № 23</w:t>
            </w:r>
          </w:p>
          <w:p w:rsidR="00C647C3" w:rsidRPr="00C647C3" w:rsidRDefault="004B5D89" w:rsidP="004B5D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2.3. основни терапевтични процедури (включително Приложение № 22)</w:t>
            </w:r>
            <w:r w:rsidR="00C647C3"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87.03</w:t>
            </w:r>
          </w:p>
        </w:tc>
      </w:tr>
    </w:tbl>
    <w:p w:rsidR="00C647C3" w:rsidRPr="00C647C3" w:rsidRDefault="00C647C3" w:rsidP="00C647C3">
      <w:pPr>
        <w:keepNext/>
        <w:keepLines/>
        <w:spacing w:after="0" w:line="240" w:lineRule="auto"/>
        <w:ind w:firstLine="513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lastRenderedPageBreak/>
        <w:t>Изискване: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Амбулаторната процедура се счита за завършена, ако е извършена 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една основна диагностична процедура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и една терапевтична процедура.</w:t>
      </w:r>
    </w:p>
    <w:p w:rsidR="00C647C3" w:rsidRPr="00C647C3" w:rsidRDefault="00C647C3" w:rsidP="00C647C3">
      <w:pPr>
        <w:keepNext/>
        <w:keepLines/>
        <w:spacing w:after="0" w:line="240" w:lineRule="auto"/>
        <w:ind w:firstLine="513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Амбулаторната процедура може да бъде отчетена до 3 пъти годишно при извършени до 3 клинични прегледа, в рамките на НРД или Решение на НС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bg-BG"/>
        </w:rPr>
        <w:t>.</w:t>
      </w:r>
    </w:p>
    <w:p w:rsidR="007F78FA" w:rsidRPr="003F26B8" w:rsidRDefault="007F78FA" w:rsidP="007F78FA">
      <w:pPr>
        <w:keepNext/>
        <w:keepLines/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F26B8">
        <w:rPr>
          <w:rFonts w:ascii="Times New Roman" w:hAnsi="Times New Roman" w:cs="Times New Roman"/>
          <w:b/>
          <w:sz w:val="24"/>
          <w:szCs w:val="24"/>
        </w:rPr>
        <w:t>4.</w:t>
      </w:r>
      <w:r w:rsidRPr="003F26B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F26B8">
        <w:rPr>
          <w:rFonts w:ascii="Times New Roman" w:hAnsi="Times New Roman" w:cs="Times New Roman"/>
          <w:b/>
          <w:sz w:val="24"/>
          <w:szCs w:val="24"/>
        </w:rPr>
        <w:t xml:space="preserve">УСЛОВИЯ ЗА СКЛЮЧВАНЕ НА ДОГОВОР 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ПРОЦЕДУРА:</w:t>
      </w:r>
    </w:p>
    <w:p w:rsidR="00C647C3" w:rsidRPr="00C647C3" w:rsidRDefault="00C647C3" w:rsidP="00C647C3">
      <w:pPr>
        <w:keepNext/>
        <w:keepLines/>
        <w:tabs>
          <w:tab w:val="left" w:pos="900"/>
        </w:tabs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Амбулаторната процедура включва дейности и услуги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Нервни болести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“, осъществявана на трето ниво на компетентност, съгласно медицински стандарт „Нервни болести“,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Детска неврологи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я“, осъществявана на трето ниво на компетентност, съгласно медицински стандарт „Нервни болести“,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Нефрология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“, осъществявана на трето ниво на компетентност, съгласно медицински стандарт по „Нефрология“,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Педиатрия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“, осъществявана на трето ниво на компетентност, съгласно медицински стандарт по „Педиатрия“,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Кардиология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“, осъществявана на трето ниво на компетентност, съгласно медицински стандарт по „Кардиология“, от обхвата на медицинската специалност „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Очни болести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“, осъществявана на трето ниво на компетентност, съгласно медицински стандарт по „Очни болести“ според формата на заболяването и състоянието.</w:t>
      </w:r>
    </w:p>
    <w:p w:rsidR="007F78FA" w:rsidRDefault="007F78FA" w:rsidP="007F78FA">
      <w:pPr>
        <w:pStyle w:val="Body"/>
        <w:keepNext/>
        <w:keepLines/>
        <w:ind w:firstLine="708"/>
        <w:rPr>
          <w:b/>
          <w:noProof/>
        </w:rPr>
      </w:pPr>
      <w:r>
        <w:rPr>
          <w:b/>
          <w:noProof/>
          <w:lang w:val="ru-RU"/>
        </w:rPr>
        <w:t>4</w:t>
      </w:r>
      <w:r w:rsidRPr="002E1541">
        <w:rPr>
          <w:b/>
          <w:noProof/>
        </w:rPr>
        <w:t>.</w:t>
      </w:r>
      <w:r>
        <w:rPr>
          <w:b/>
          <w:noProof/>
        </w:rPr>
        <w:t>а.</w:t>
      </w:r>
      <w:r w:rsidRPr="002E1541">
        <w:rPr>
          <w:b/>
          <w:noProof/>
        </w:rPr>
        <w:t xml:space="preserve">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C647C3" w:rsidRPr="00C647C3" w:rsidRDefault="00C647C3" w:rsidP="00C647C3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със структури на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извънболничната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или болничната помощ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, разположено на територията му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 и имащо договор с НЗОК.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7"/>
      </w:tblGrid>
      <w:tr w:rsidR="00C647C3" w:rsidRPr="00C647C3" w:rsidTr="00C647C3">
        <w:trPr>
          <w:jc w:val="center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ru-RU" w:eastAsia="bg-BG"/>
              </w:rPr>
              <w:t>Задължително звено/медицинска апаратура</w:t>
            </w:r>
          </w:p>
        </w:tc>
      </w:tr>
      <w:tr w:rsidR="00C647C3" w:rsidRPr="00C647C3" w:rsidTr="00C647C3">
        <w:trPr>
          <w:jc w:val="center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bg-BG"/>
              </w:rPr>
              <w:t xml:space="preserve">1. </w:t>
            </w: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Неврологична клиника/отделение 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Детска неврологична клиника/отделение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нефрологична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клиника/отделение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Педиатрична клиника/отделение 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Кардиологична клиника/отделение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</w:p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Очна клиника/отделение</w:t>
            </w:r>
          </w:p>
        </w:tc>
      </w:tr>
    </w:tbl>
    <w:p w:rsidR="00C647C3" w:rsidRPr="00C647C3" w:rsidRDefault="00C647C3" w:rsidP="00C647C3">
      <w:pPr>
        <w:keepNext/>
        <w:keepLines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 </w:t>
      </w:r>
    </w:p>
    <w:p w:rsidR="00C647C3" w:rsidRPr="00C647C3" w:rsidRDefault="00C647C3" w:rsidP="00C647C3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ЛЗ изпълнител на болнична помощ може да осигури дейността на съответното структурно звено чрез договор с друго лечебно заведение, което отговаря на изискванията за апаратура, оборудване и специалисти за тази КП и имащо договор с НЗОК.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7"/>
      </w:tblGrid>
      <w:tr w:rsidR="00C647C3" w:rsidRPr="00C647C3" w:rsidTr="00C647C3">
        <w:trPr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ru-RU" w:eastAsia="bg-BG"/>
              </w:rPr>
              <w:t xml:space="preserve">Задължително звено /медицинска апаратура </w:t>
            </w:r>
          </w:p>
        </w:tc>
      </w:tr>
      <w:tr w:rsidR="00C647C3" w:rsidRPr="00C647C3" w:rsidTr="00C647C3">
        <w:trPr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bg-BG"/>
              </w:rPr>
              <w:t xml:space="preserve">1. Образна диагностика </w:t>
            </w: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- </w:t>
            </w: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рентгенов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апарат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за скопия и графия, КАТ, ЯМР,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ехографска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апаратура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-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съгласно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съответните</w:t>
            </w:r>
            <w:proofErr w:type="spellEnd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стандарти</w:t>
            </w:r>
            <w:proofErr w:type="spellEnd"/>
          </w:p>
        </w:tc>
      </w:tr>
      <w:tr w:rsidR="00C647C3" w:rsidRPr="00C647C3" w:rsidTr="00C647C3">
        <w:trPr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C3" w:rsidRPr="00C647C3" w:rsidRDefault="00C647C3" w:rsidP="00C647C3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 w:rsidRPr="00C6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ЕЕГ – кабинет (апарат)</w:t>
            </w:r>
          </w:p>
        </w:tc>
      </w:tr>
    </w:tbl>
    <w:p w:rsidR="007F78FA" w:rsidRDefault="007F78FA" w:rsidP="00C647C3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</w:pPr>
    </w:p>
    <w:p w:rsidR="007F78FA" w:rsidRPr="003F26B8" w:rsidRDefault="007F78FA" w:rsidP="007F78FA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</w:rPr>
        <w:t>4.б.</w:t>
      </w:r>
      <w:r w:rsidRPr="003F26B8">
        <w:rPr>
          <w:rFonts w:ascii="Times New Roman" w:eastAsia="Times New Roman" w:hAnsi="Times New Roman" w:cs="Times New Roman"/>
          <w:b/>
          <w:sz w:val="24"/>
          <w:szCs w:val="24"/>
        </w:rPr>
        <w:t>НЕОБХОДИМИ СПЕЦИАЛИСТИ ЗА ИЗПЪЛНЕНИЕ НА КЛИНИЧНАТА ПЪТЕКА И ИЗИСКВАНИЯ ЗА ДОПЪЛНИТЕЛНА КВАЛИФИКАЦИЯ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</w:p>
    <w:p w:rsidR="00C647C3" w:rsidRPr="00C647C3" w:rsidRDefault="00C647C3" w:rsidP="00C647C3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>Необходими специалисти за лечение на пациенти на възраст над 18 години:</w:t>
      </w:r>
    </w:p>
    <w:p w:rsidR="00C647C3" w:rsidRPr="00C647C3" w:rsidRDefault="00C647C3" w:rsidP="00C647C3">
      <w:pPr>
        <w:keepNext/>
        <w:keepLines/>
        <w:tabs>
          <w:tab w:val="left" w:pos="900"/>
        </w:tabs>
        <w:spacing w:after="0" w:line="240" w:lineRule="auto"/>
        <w:ind w:left="1260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Arial" w:hAnsi="Verdana" w:cs="Arial"/>
          <w:color w:val="000000"/>
          <w:sz w:val="24"/>
          <w:szCs w:val="24"/>
          <w:lang w:eastAsia="bg-BG"/>
        </w:rPr>
        <w:t>-</w:t>
      </w:r>
      <w:r w:rsidRPr="00C647C3">
        <w:rPr>
          <w:rFonts w:ascii="Verdana" w:eastAsia="Aria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брой лекари по съответните специалности, съгласно съответните медицински стандарти.</w:t>
      </w:r>
    </w:p>
    <w:p w:rsidR="00C647C3" w:rsidRPr="00C647C3" w:rsidRDefault="00C647C3" w:rsidP="00C647C3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>Необходими специалисти за лечение на пациенти на възраст под 18 години:</w:t>
      </w:r>
    </w:p>
    <w:p w:rsidR="00C647C3" w:rsidRPr="00C647C3" w:rsidRDefault="00C647C3" w:rsidP="00C647C3">
      <w:pPr>
        <w:keepNext/>
        <w:keepLines/>
        <w:spacing w:after="0" w:line="240" w:lineRule="auto"/>
        <w:ind w:left="1260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Arial" w:hAnsi="Verdana" w:cs="Arial"/>
          <w:noProof/>
          <w:color w:val="000000"/>
          <w:sz w:val="24"/>
          <w:szCs w:val="24"/>
          <w:lang w:val="ru-RU" w:eastAsia="bg-BG"/>
        </w:rPr>
        <w:t>-</w:t>
      </w:r>
      <w:r w:rsidRPr="00C647C3">
        <w:rPr>
          <w:rFonts w:ascii="Verdana" w:eastAsia="Arial" w:hAnsi="Verdana" w:cs="Times New Roman"/>
          <w:noProof/>
          <w:color w:val="000000"/>
          <w:sz w:val="14"/>
          <w:szCs w:val="14"/>
          <w:lang w:val="ru-RU" w:eastAsia="bg-BG"/>
        </w:rPr>
        <w:t xml:space="preserve">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брой лекари по съответните специалности, съгласно съответните медицински стандарти</w:t>
      </w:r>
    </w:p>
    <w:p w:rsidR="007F78FA" w:rsidRDefault="007F78FA" w:rsidP="00C647C3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</w:pPr>
    </w:p>
    <w:p w:rsidR="007F78FA" w:rsidRPr="003F26B8" w:rsidRDefault="007F78FA" w:rsidP="007F78FA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F26B8">
        <w:rPr>
          <w:rFonts w:ascii="Arial" w:eastAsia="Times New Roman" w:hAnsi="Arial" w:cs="Times New Roman"/>
          <w:b/>
          <w:noProof/>
          <w:szCs w:val="20"/>
        </w:rPr>
        <w:t>5. ИНДИКАЦИИ ЗА ХОСПИТАЛИЗАЦИЯ И ДИАГНОСТИЧНО – ЛЕЧЕБЕН АЛГОРИТЪМ.</w:t>
      </w:r>
    </w:p>
    <w:p w:rsidR="001F12CE" w:rsidRDefault="007F78FA" w:rsidP="001F12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  <w:lang w:val="en-GB"/>
        </w:rPr>
        <w:t>5.а. ИНДИКАЦИИ ЗА ХОСПИТАЛИЗАЦИЯ И ЛЕЧЕНИЕ</w:t>
      </w:r>
    </w:p>
    <w:p w:rsidR="001F12CE" w:rsidRDefault="00C647C3" w:rsidP="001F12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F12CE" w:rsidRDefault="00C647C3" w:rsidP="001F12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C647C3">
        <w:rPr>
          <w:rFonts w:ascii="Verdana" w:eastAsia="Times New Roman" w:hAnsi="Verdana" w:cs="Times New Roman"/>
          <w:i/>
          <w:noProof/>
          <w:color w:val="000000"/>
          <w:sz w:val="24"/>
          <w:szCs w:val="24"/>
          <w:lang w:eastAsia="bg-BG"/>
        </w:rPr>
        <w:t xml:space="preserve">обща оценка на състоянието на пациента и контрол по отношение на протичането на заболяването: </w:t>
      </w:r>
    </w:p>
    <w:p w:rsidR="001F12CE" w:rsidRDefault="00C647C3" w:rsidP="001F12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извършване на физикални прегледи на обективното състояние; </w:t>
      </w:r>
    </w:p>
    <w:p w:rsidR="001F12CE" w:rsidRDefault="00C647C3" w:rsidP="001F12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назначаване на медико-диагностични изследвания в зависимост от формата на заболяването; </w:t>
      </w:r>
    </w:p>
    <w:p w:rsidR="00C647C3" w:rsidRDefault="00C647C3" w:rsidP="001F12CE">
      <w:pPr>
        <w:spacing w:line="240" w:lineRule="auto"/>
        <w:ind w:firstLine="567"/>
        <w:jc w:val="both"/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организиране на консултативни прегледи и други специализирани дейности;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i/>
          <w:noProof/>
          <w:color w:val="000000"/>
          <w:sz w:val="24"/>
          <w:szCs w:val="24"/>
          <w:lang w:eastAsia="bg-BG"/>
        </w:rPr>
        <w:t xml:space="preserve">определяне на план за лечение и контрол на терапевтичното поведение: </w:t>
      </w:r>
    </w:p>
    <w:p w:rsidR="001F12CE" w:rsidRPr="00C647C3" w:rsidRDefault="001F12CE" w:rsidP="001F12CE">
      <w:pPr>
        <w:keepNext/>
        <w:keepLines/>
        <w:spacing w:after="0" w:line="240" w:lineRule="auto"/>
        <w:ind w:left="709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назначаване на симптоматично лечение и диетичен режим; </w:t>
      </w:r>
    </w:p>
    <w:p w:rsidR="001F12CE" w:rsidRPr="00C647C3" w:rsidRDefault="001F12CE" w:rsidP="001F12CE">
      <w:pPr>
        <w:keepNext/>
        <w:keepLines/>
        <w:spacing w:after="0" w:line="240" w:lineRule="auto"/>
        <w:ind w:left="709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осигуряване на консервативно лечение или насочване за оперативно лечение в зависимост от стадия и формата на заболяването; </w:t>
      </w:r>
    </w:p>
    <w:p w:rsidR="001F12CE" w:rsidRPr="00C647C3" w:rsidRDefault="001F12CE" w:rsidP="001F12CE">
      <w:pPr>
        <w:keepNext/>
        <w:keepLines/>
        <w:spacing w:after="0" w:line="240" w:lineRule="auto"/>
        <w:ind w:left="709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noProof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ревизия на терапевтичната схема при необходимост или насочване за болнично лечение при изчерпване на възможностите за амбулаторно лечение;</w:t>
      </w:r>
      <w:r w:rsidRPr="00C647C3">
        <w:rPr>
          <w:rFonts w:ascii="Verdana" w:eastAsia="Times New Roman" w:hAnsi="Verdana" w:cs="Times New Roman"/>
          <w:i/>
          <w:noProof/>
          <w:color w:val="000000"/>
          <w:sz w:val="24"/>
          <w:szCs w:val="24"/>
          <w:lang w:eastAsia="bg-BG"/>
        </w:rPr>
        <w:t xml:space="preserve">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i/>
          <w:noProof/>
          <w:color w:val="000000"/>
          <w:sz w:val="24"/>
          <w:szCs w:val="24"/>
          <w:lang w:eastAsia="bg-BG"/>
        </w:rPr>
        <w:t>обучение на пациента и неговите близки и др.;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snapToGrid w:val="0"/>
          <w:color w:val="000000"/>
          <w:sz w:val="24"/>
          <w:szCs w:val="24"/>
          <w:lang w:eastAsia="bg-BG"/>
        </w:rPr>
        <w:t>5.б</w:t>
      </w:r>
      <w:r w:rsidRPr="00C647C3">
        <w:rPr>
          <w:rFonts w:ascii="Verdana" w:eastAsia="Times New Roman" w:hAnsi="Verdana" w:cs="Times New Roman"/>
          <w:b/>
          <w:snapToGrid w:val="0"/>
          <w:color w:val="000000"/>
          <w:sz w:val="24"/>
          <w:szCs w:val="24"/>
          <w:lang w:eastAsia="bg-BG"/>
        </w:rPr>
        <w:t xml:space="preserve">. ДИАГНОСТИЧНО – ЛЕЧЕБЕН АЛГОРИТЪМ.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Лечебно-диагностичният алгоритъм включва диагностициране на заболяването Туберозна склероза или проследяването с оценка на неврологичните прояви /епилепсия, умствена изостаналост, поведенчески отклонения, разстройства от аутистичния спектър, наличие и промени в обема на СЕГА/, бъбречните увреждания /ангиомиолипоми и кисти/, сърдечни прояви /наличие и еволюция на рабдомиоми/ и белодробна патология, свързана с лимфангиолейомиоматозата. </w:t>
      </w:r>
    </w:p>
    <w:p w:rsidR="001F12CE" w:rsidRPr="00C647C3" w:rsidRDefault="001F12CE" w:rsidP="001F12CE">
      <w:pPr>
        <w:keepNext/>
        <w:keepLines/>
        <w:widowControl w:val="0"/>
        <w:spacing w:after="0" w:line="240" w:lineRule="auto"/>
        <w:ind w:left="1287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snapToGrid w:val="0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snapToGrid w:val="0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насочване на пациента за изготвяне на план за лечение и проследяване на терапевтичния отговор при пациенти, получаващи скъпоструващи лекарствени продукти по реда на чл. 78, ал. 2 от ЗЗО;</w:t>
      </w:r>
    </w:p>
    <w:p w:rsidR="001F12CE" w:rsidRPr="00C647C3" w:rsidRDefault="001F12CE" w:rsidP="001F12CE">
      <w:pPr>
        <w:keepNext/>
        <w:keepLines/>
        <w:widowControl w:val="0"/>
        <w:spacing w:after="0" w:line="240" w:lineRule="auto"/>
        <w:ind w:left="1287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snapToGrid w:val="0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snapToGrid w:val="0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периодична преценка на ефекта от проведеното лечение до момента;</w:t>
      </w:r>
    </w:p>
    <w:p w:rsidR="001F12CE" w:rsidRPr="00C647C3" w:rsidRDefault="001F12CE" w:rsidP="001F12CE">
      <w:pPr>
        <w:keepNext/>
        <w:keepLines/>
        <w:widowControl w:val="0"/>
        <w:spacing w:after="0" w:line="240" w:lineRule="auto"/>
        <w:ind w:left="1287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snapToGrid w:val="0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snapToGrid w:val="0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активно наблюдение/диспансеризация на пациента.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6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. ПОСТАВЯНЕ НА ОКОНЧАТЕЛНА ДИАГНОЗА.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По „Критерии за </w:t>
      </w:r>
      <w:proofErr w:type="spellStart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диагностициране</w:t>
      </w:r>
      <w:proofErr w:type="spellEnd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на ТСК, </w:t>
      </w: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Консенсус за диагностика, лечение и проследяване на пациентите с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Туберозна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склероза – комплекс в България, 2016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1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А. </w:t>
      </w: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Генетичен диагностичен критерий</w:t>
      </w:r>
      <w:r w:rsidRPr="00C647C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- доказването на патогенни мутации с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инактивиране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на функциите на TSC1 протеина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hamartin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или на TSC2 протеина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tuberin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прави сигурна диагнозата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ТСК но при 10-25% от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пациентити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се установяват мутации.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Б. </w:t>
      </w: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Клинични критерии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с наличието на </w:t>
      </w: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11 главни и 6 второстепенни белега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: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Главни белези (11):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1.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Хипопигментни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петна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 xml:space="preserve">≥3, 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поне с 5 мм диаметър);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2.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Ангиофиброми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≥3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) или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фиброзни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плаки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в областта на главата;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3.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Унгвални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фиброми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3);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4. Шагренови петна;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5. Множествени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ретинални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хамартоми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6.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Кортикални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дисплазии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тубери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и радиални миграционни линии в бялото мозъчно вещество)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3); 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7.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Субепендимни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нодули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(СЕН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)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2);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8.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Субепендимни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гигантоклетъчни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астроцитоми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(СЕГА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)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9. Сърдечни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рабдомиоми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10.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Лимфангиолейомиоматоза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(ЛАМ);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11.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(АМЛ)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2).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Второстепенние</w:t>
      </w:r>
      <w:proofErr w:type="spellEnd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 белези (6)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bg-BG"/>
        </w:rPr>
        <w:t>: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bg-BG"/>
        </w:rPr>
        <w:t xml:space="preserve">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1.Кожни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като конфети;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2 Дефекти в зъбния емайл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3);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3.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Интраорални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фиброми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2);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4.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Ретинални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ахромни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петна;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5. Множествени бъбречни кисти;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6. Небъбречни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хамартоми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Диагнозата е </w:t>
      </w: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сигурна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при 2 главни белега или 1 главен и 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2 </w:t>
      </w:r>
      <w:proofErr w:type="spellStart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второстепени</w:t>
      </w:r>
      <w:proofErr w:type="spellEnd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белега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Диагнозата е </w:t>
      </w:r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 xml:space="preserve">възможна 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при 1 главен или 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  <w:t>≥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2 второстепенни белега.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Комбинацията само на 2 главни белега (</w:t>
      </w:r>
      <w:proofErr w:type="spellStart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и ЛАМ) не се приема без наличие и на други белези. </w:t>
      </w:r>
    </w:p>
    <w:p w:rsidR="001F12CE" w:rsidRPr="00C647C3" w:rsidRDefault="001F12CE" w:rsidP="001F12CE">
      <w:pPr>
        <w:keepNext/>
        <w:keepLines/>
        <w:spacing w:after="0" w:line="240" w:lineRule="auto"/>
        <w:ind w:left="720" w:right="284"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Диагнозата се поставя чрез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провеждане на образни изследвания (КТ или МРТ на главен мозък или ехография или КТ или МРТ на бъбреци) или ЕКГ и ехография на сърце, или рентгенография или КТ на бели дробове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>7</w:t>
      </w: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>. ДЕХОСПИТАЛИЗАЦИЯ И ОПРЕДЕЛЯНЕ НА СЛЕДБОЛНИЧЕН РЕЖИМ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.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snapToGrid w:val="0"/>
          <w:color w:val="000000"/>
          <w:sz w:val="24"/>
          <w:szCs w:val="24"/>
          <w:lang w:eastAsia="bg-BG"/>
        </w:rPr>
        <w:t xml:space="preserve">Медицински критерии за </w:t>
      </w:r>
      <w:proofErr w:type="spellStart"/>
      <w:r w:rsidRPr="00C647C3">
        <w:rPr>
          <w:rFonts w:ascii="Verdana" w:eastAsia="Times New Roman" w:hAnsi="Verdana" w:cs="Times New Roman"/>
          <w:b/>
          <w:snapToGrid w:val="0"/>
          <w:color w:val="000000"/>
          <w:sz w:val="24"/>
          <w:szCs w:val="24"/>
          <w:lang w:eastAsia="bg-BG"/>
        </w:rPr>
        <w:t>дехоспитализация</w:t>
      </w:r>
      <w:proofErr w:type="spellEnd"/>
      <w:r w:rsidRPr="00C647C3">
        <w:rPr>
          <w:rFonts w:ascii="Verdana" w:eastAsia="Times New Roman" w:hAnsi="Verdana" w:cs="Times New Roman"/>
          <w:b/>
          <w:snapToGrid w:val="0"/>
          <w:color w:val="000000"/>
          <w:sz w:val="24"/>
          <w:szCs w:val="24"/>
          <w:lang w:eastAsia="bg-BG"/>
        </w:rPr>
        <w:t>: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Диагностични, лечебни и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рехабилита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softHyphen/>
        <w:t>ционни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дейности и услуги при приключване на амбулаторната процедура: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Контрол на здравното състояние на пациента и медицинско заключение за лип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softHyphen/>
        <w:t>са на медицински риск от приключване на процедурата въз основа на обективни данни за стабилно общо състояние (клинични/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па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softHyphen/>
        <w:t>раклинични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) и: </w:t>
      </w:r>
    </w:p>
    <w:p w:rsidR="001F12CE" w:rsidRPr="00C647C3" w:rsidRDefault="001F12CE" w:rsidP="001F12CE">
      <w:pPr>
        <w:keepNext/>
        <w:keepLines/>
        <w:spacing w:after="0" w:line="240" w:lineRule="auto"/>
        <w:ind w:left="1260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Arial" w:hAnsi="Verdana" w:cs="Arial"/>
          <w:color w:val="000000"/>
          <w:sz w:val="24"/>
          <w:szCs w:val="24"/>
          <w:lang w:eastAsia="bg-BG"/>
        </w:rPr>
        <w:t>-</w:t>
      </w:r>
      <w:r w:rsidRPr="00C647C3">
        <w:rPr>
          <w:rFonts w:ascii="Verdana" w:eastAsia="Aria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изпълнени диагностични и терапев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softHyphen/>
        <w:t xml:space="preserve">тични процедури в зависимост от оценката на състоянието на пациента и протичането на заболяването; </w:t>
      </w:r>
    </w:p>
    <w:p w:rsidR="001F12CE" w:rsidRPr="00C647C3" w:rsidRDefault="001F12CE" w:rsidP="001F12CE">
      <w:pPr>
        <w:keepNext/>
        <w:keepLines/>
        <w:spacing w:after="0" w:line="240" w:lineRule="auto"/>
        <w:ind w:left="1260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Arial" w:hAnsi="Verdana" w:cs="Arial"/>
          <w:color w:val="000000"/>
          <w:sz w:val="24"/>
          <w:szCs w:val="24"/>
          <w:lang w:eastAsia="bg-BG"/>
        </w:rPr>
        <w:t>-</w:t>
      </w:r>
      <w:r w:rsidRPr="00C647C3">
        <w:rPr>
          <w:rFonts w:ascii="Verdana" w:eastAsia="Aria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изготвен план за контрол на про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softHyphen/>
        <w:t xml:space="preserve">тичане на заболяването за следващ период на наблюдение.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8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 xml:space="preserve">. 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bg-BG"/>
        </w:rPr>
        <w:t>ДОКУМЕНТИРАНЕ НА ДЕЙНОСТИТЕ ПО АМБУЛАТОРНАТА ПРОЦЕДУРА</w:t>
      </w: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>:</w:t>
      </w:r>
    </w:p>
    <w:p w:rsidR="001F12CE" w:rsidRPr="00C647C3" w:rsidRDefault="001F12CE" w:rsidP="001F12CE">
      <w:pPr>
        <w:widowControl w:val="0"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8.</w:t>
      </w:r>
      <w:r w:rsidRPr="00C647C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1.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ЛЕЧЕНИЕТО НА ПАЦИЕНТА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се документира в бл. МЗ-НЗОК № 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bg-BG"/>
        </w:rPr>
        <w:t>9 “Лист за диспансерно наблюдение”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8.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2.</w:t>
      </w: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  <w:t xml:space="preserve"> ДЕКЛАРАЦИЯ ЗА ИНФОРМИРАНО СЪГЛАСИЕ</w:t>
      </w:r>
      <w:r w:rsidRPr="00C647C3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val="en-US"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– подписва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val="en-US" w:eastAsia="bg-BG"/>
        </w:rPr>
        <w:t xml:space="preserve"> </w:t>
      </w:r>
      <w:r w:rsidRPr="00C647C3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се от пациента (родителя/настойника)</w:t>
      </w:r>
      <w:r w:rsidRPr="00C647C3">
        <w:rPr>
          <w:rFonts w:ascii="Verdana" w:eastAsia="Times New Roman" w:hAnsi="Verdana" w:cs="Times New Roman"/>
          <w:i/>
          <w:noProof/>
          <w:color w:val="000000"/>
          <w:sz w:val="24"/>
          <w:szCs w:val="24"/>
          <w:lang w:eastAsia="bg-BG"/>
        </w:rPr>
        <w:t>.</w:t>
      </w:r>
    </w:p>
    <w:p w:rsidR="001F12CE" w:rsidRDefault="001F12CE" w:rsidP="001F12CE">
      <w:pPr>
        <w:widowControl w:val="0"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8.</w:t>
      </w:r>
      <w:r w:rsidRPr="00C647C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 xml:space="preserve">3. </w:t>
      </w: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ОТЧИТАНЕТО 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се извършва с “Лист за диспансерно наблюдение” - бл. МЗ-НЗОК № 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bg-BG"/>
        </w:rPr>
        <w:t>9</w:t>
      </w: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и електронен отчет в определен формат, съгласно изискванията на НЗОК.</w:t>
      </w:r>
    </w:p>
    <w:p w:rsidR="00C647C3" w:rsidRDefault="00C647C3" w:rsidP="001F12CE">
      <w:pPr>
        <w:widowControl w:val="0"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Документите се съхраняват в лечебното заведение за целите на контрола от оторизираните институции.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right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val="ru-RU" w:eastAsia="bg-BG"/>
        </w:rPr>
        <w:t xml:space="preserve">ДОКУМЕНТ </w:t>
      </w:r>
    </w:p>
    <w:p w:rsidR="001F12CE" w:rsidRPr="00C647C3" w:rsidRDefault="001F12CE" w:rsidP="001F12CE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val="ru-RU" w:eastAsia="bg-BG"/>
        </w:rPr>
        <w:t>ИНФОРМАЦИЯ ЗА ПАЦИЕНТА (РОДИТЕЛЯ /НАСТОЙНИКА/ПОПЕЧИТЕЛЯ)</w:t>
      </w:r>
    </w:p>
    <w:p w:rsidR="001F12CE" w:rsidRPr="00C647C3" w:rsidRDefault="001F12CE" w:rsidP="001F12CE">
      <w:pPr>
        <w:keepNext/>
        <w:keepLines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C6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Туберозна</w:t>
      </w:r>
      <w:proofErr w:type="spellEnd"/>
      <w:r w:rsidRPr="00C6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склероза (ТСК) 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характеризира с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мултиорганно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засягане на мозъка, сърцето, кожата, бъбреците, белия и черния дроб и склонност към образуване на доброкачествени тумори. Честотата на заболяването варира от 1 на 6800 до 1 на 17,300 живи раждания. Клиничните изяви на заболяването са изключително разнообразни поради засягане на различни органи и системи с възможно начало от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кърмаческата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до зрялата възраст и с различна тежест. Много от проявите са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животозастрашаващи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за ограничаване на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болестността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смъртността при това заболяване е необходимо ранно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диагностициране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комплексно проследяване от различни специалисти и адекватно лечение за постигане на оптимално качество на живот на засегнатите лица.</w:t>
      </w:r>
    </w:p>
    <w:p w:rsidR="001F12CE" w:rsidRPr="00C647C3" w:rsidRDefault="001F12CE" w:rsidP="001F12CE">
      <w:pPr>
        <w:keepNext/>
        <w:keepLines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Изясняването на генетиката на заболяването с разкриване на гените TSC1 и TSC2 и патофизиологията чрез въздействието им върху вътреклетъчния регулатор на клетъчния растеж и метаболизъм (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mTOR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сигнален път) е основен фактор за съвременното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патогенетично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лечение с употреба на mTORC1-инхибитори за лечение на няколко от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животозастрашаващите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клинични прояви на ТСК, като мозъчните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субепендимни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гигантоклетъчни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астроцитоми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бъбречните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белодробната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лимфангиолейомиоматоза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1F12CE" w:rsidRPr="00C647C3" w:rsidRDefault="001F12CE" w:rsidP="001F12CE">
      <w:pPr>
        <w:keepNext/>
        <w:keepLines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Мултиорганното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засягане изисква мултидисциплинарен подход при TSC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скоординиране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изследванията и грижите между медицинските специалности редовно от детството до зрялата възраст.</w:t>
      </w:r>
    </w:p>
    <w:p w:rsidR="001F12CE" w:rsidRPr="00C647C3" w:rsidRDefault="001F12CE" w:rsidP="001F12CE">
      <w:pPr>
        <w:keepNext/>
        <w:keepLines/>
        <w:adjustRightInd w:val="0"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Диагностицирането</w:t>
      </w:r>
      <w:proofErr w:type="spellEnd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 xml:space="preserve"> на </w:t>
      </w:r>
      <w:proofErr w:type="spellStart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туберозната</w:t>
      </w:r>
      <w:proofErr w:type="spellEnd"/>
      <w:r w:rsidRPr="00C647C3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 xml:space="preserve"> склероза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е на базата на </w:t>
      </w:r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комбинация от клинични синдроми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с различна честота и възрастова зависимост на изявата при </w:t>
      </w:r>
      <w:proofErr w:type="spellStart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мултиорганно</w:t>
      </w:r>
      <w:proofErr w:type="spellEnd"/>
      <w:r w:rsidRPr="00C647C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засягане на организма</w:t>
      </w:r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.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Пренатално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и през първата година се манифестират клинично сърдечните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рабдомиоми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, неврологичните и кожните синдроми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синдроми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- от раждането и през първата година, очните- между 1 и 5 г., бъбречните- между 5 е 10 г., белодробните- над 18 г. Симптомите може да включват епилептични припадъци, аритмии,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учестено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дишане, слабост, спонтанен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пневмоторакс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, кашлица,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бъречни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кръвоизливи, анемия,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хематурия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, коремна болка, повишено кръвно налягане, кожни </w:t>
      </w:r>
      <w:proofErr w:type="spellStart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– според засегнатия орган и възрастта на пациента.</w:t>
      </w:r>
    </w:p>
    <w:p w:rsidR="001F12CE" w:rsidRPr="00C647C3" w:rsidRDefault="001F12CE" w:rsidP="001F12CE">
      <w:pPr>
        <w:keepNext/>
        <w:keepLines/>
        <w:adjustRightInd w:val="0"/>
        <w:spacing w:before="100" w:beforeAutospacing="1" w:after="100" w:afterAutospacing="1" w:line="240" w:lineRule="auto"/>
        <w:ind w:right="-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В хода на заболяването с напредването на възрастта се засягат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резлични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органи и системи: </w:t>
      </w:r>
    </w:p>
    <w:p w:rsidR="001F12CE" w:rsidRPr="00C647C3" w:rsidRDefault="001F12CE" w:rsidP="001F12CE">
      <w:pPr>
        <w:keepNext/>
        <w:keepLines/>
        <w:spacing w:after="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 xml:space="preserve">Кожните прояви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се срещат от раждането през целия живот и често са първите, най-характерните, а понякога и единствените клинични изяви на КТС , особено при по-леки форми на заболяването.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Хипопигментните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кожни петна са налице при раждането и в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кърмаческата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възраст, лицевите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ангиофироми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нарастват постепенно, както шагреновото петно в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лумбалната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област,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фибромите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по лицето, скалпа, около ноктите.</w:t>
      </w:r>
    </w:p>
    <w:p w:rsidR="001F12CE" w:rsidRPr="00C647C3" w:rsidRDefault="001F12CE" w:rsidP="001F12CE">
      <w:pPr>
        <w:keepNext/>
        <w:keepLines/>
        <w:spacing w:after="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В централната нервна система (ЦНС) са налице:</w:t>
      </w:r>
    </w:p>
    <w:p w:rsidR="001F12CE" w:rsidRPr="00C647C3" w:rsidRDefault="001F12CE" w:rsidP="001F12CE">
      <w:pPr>
        <w:keepNext/>
        <w:keepLines/>
        <w:spacing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C647C3">
        <w:rPr>
          <w:rFonts w:ascii="Times New Roman" w:eastAsia="Times New Roman" w:hAnsi="Times New Roman" w:cs="Times New Roman"/>
          <w:color w:val="000000"/>
          <w:sz w:val="14"/>
          <w:szCs w:val="1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Кортикални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тубери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 различна локализация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които се образуват по време на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ембриналното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развитие, типични находки са в ранна детска възраст и причиняват епилепсия, вкл. с ранно начало като синдром на Уест или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фокална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епилепсия.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Кортикалните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тубери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 причина за когнитивен дефицит, поведенчески отклонения 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невропсихиатричните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разстройсва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като разстройства от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аутистичния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спектър, умствена изостаналост и други.</w:t>
      </w:r>
    </w:p>
    <w:p w:rsidR="001F12CE" w:rsidRPr="00C647C3" w:rsidRDefault="001F12CE" w:rsidP="001F12CE">
      <w:pPr>
        <w:keepNext/>
        <w:keepLines/>
        <w:spacing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C647C3">
        <w:rPr>
          <w:rFonts w:ascii="Times New Roman" w:eastAsia="Times New Roman" w:hAnsi="Times New Roman" w:cs="Times New Roman"/>
          <w:color w:val="000000"/>
          <w:sz w:val="14"/>
          <w:szCs w:val="1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Субепентдимните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нодули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(СЕН) 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локализирани в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перивентрикулните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области, визуализират се при компютърната томография като калцирани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нямат клинична изява, но имат потенциала да се увеличат по размер и да се развият в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субепендимни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гигантоклетъчни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астроцитоми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(СЕГА) при до 20% от пациентите, които най-често се появяват по време на по-късните години на детството и юношеството.</w:t>
      </w:r>
    </w:p>
    <w:p w:rsidR="001F12CE" w:rsidRPr="00C647C3" w:rsidRDefault="001F12CE" w:rsidP="001F12CE">
      <w:pPr>
        <w:keepNext/>
        <w:keepLines/>
        <w:spacing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C647C3">
        <w:rPr>
          <w:rFonts w:ascii="Times New Roman" w:eastAsia="Times New Roman" w:hAnsi="Times New Roman" w:cs="Times New Roman"/>
          <w:color w:val="000000"/>
          <w:sz w:val="14"/>
          <w:szCs w:val="1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Субепендимни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гигантоклетъчни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астроцитоми</w:t>
      </w:r>
      <w:proofErr w:type="spellEnd"/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(СЕГА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) – при нарастване може да причинят усложнения, дължащи се на запушване на потока гръбначно-мозъчна течност, което води до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хидроцефалия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повишено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вътречерепно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налягане. СЕГА не се свързват обикновено с епилептични припадъци.</w:t>
      </w:r>
    </w:p>
    <w:p w:rsidR="001F12CE" w:rsidRPr="00C647C3" w:rsidRDefault="001F12CE" w:rsidP="001F12CE">
      <w:pPr>
        <w:keepNext/>
        <w:keepLines/>
        <w:numPr>
          <w:ilvl w:val="0"/>
          <w:numId w:val="1"/>
        </w:numPr>
        <w:spacing w:before="100" w:beforeAutospacing="1" w:line="240" w:lineRule="auto"/>
        <w:rPr>
          <w:rFonts w:ascii="Verdana" w:eastAsia="Times New Roman" w:hAnsi="Verdana" w:cs="Times New Roman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 xml:space="preserve">Сърдечните </w:t>
      </w:r>
      <w:proofErr w:type="spellStart"/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>рабдомиоми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 са най-често </w:t>
      </w:r>
      <w:proofErr w:type="spellStart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>срещатата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 изява свързана със сърцето в </w:t>
      </w:r>
      <w:proofErr w:type="spellStart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>кърмаческа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 възраст и през детството и причиняват различни сърдечни </w:t>
      </w:r>
      <w:proofErr w:type="spellStart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>ритъмни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 разстройства. </w:t>
      </w:r>
    </w:p>
    <w:p w:rsidR="001F12CE" w:rsidRPr="00C647C3" w:rsidRDefault="001F12CE" w:rsidP="001F12CE">
      <w:pPr>
        <w:keepNext/>
        <w:keepLines/>
        <w:numPr>
          <w:ilvl w:val="0"/>
          <w:numId w:val="1"/>
        </w:numPr>
        <w:spacing w:before="100" w:beforeAutospacing="1" w:line="240" w:lineRule="auto"/>
        <w:rPr>
          <w:rFonts w:ascii="Verdana" w:eastAsia="Times New Roman" w:hAnsi="Verdana" w:cs="Times New Roman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 xml:space="preserve">Бъбречните </w:t>
      </w:r>
      <w:proofErr w:type="spellStart"/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се изявяват клинично в детството , най често около или след пубертетната възраст. Протичат с </w:t>
      </w:r>
      <w:proofErr w:type="spellStart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>протеинурия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, болки в кръста, могат да причинят кръвоизливи в бъбреците. </w:t>
      </w:r>
    </w:p>
    <w:p w:rsidR="001F12CE" w:rsidRPr="00C647C3" w:rsidRDefault="001F12CE" w:rsidP="001F12CE">
      <w:pPr>
        <w:keepNext/>
        <w:keepLines/>
        <w:numPr>
          <w:ilvl w:val="0"/>
          <w:numId w:val="1"/>
        </w:numPr>
        <w:spacing w:before="100" w:beforeAutospacing="1" w:line="240" w:lineRule="auto"/>
        <w:rPr>
          <w:rFonts w:ascii="Verdana" w:eastAsia="Times New Roman" w:hAnsi="Verdana" w:cs="Times New Roman"/>
          <w:sz w:val="24"/>
          <w:szCs w:val="24"/>
          <w:lang w:eastAsia="bg-BG"/>
        </w:rPr>
      </w:pPr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 xml:space="preserve">Белодробните </w:t>
      </w:r>
      <w:proofErr w:type="spellStart"/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>лимфангиолейомиоми</w:t>
      </w:r>
      <w:proofErr w:type="spellEnd"/>
      <w:r w:rsidRPr="00C647C3">
        <w:rPr>
          <w:rFonts w:ascii="Verdana" w:eastAsia="Times New Roman" w:hAnsi="Verdana" w:cs="Times New Roman"/>
          <w:b/>
          <w:sz w:val="24"/>
          <w:szCs w:val="24"/>
          <w:lang w:eastAsia="bg-BG"/>
        </w:rPr>
        <w:t xml:space="preserve"> се </w:t>
      </w:r>
      <w:proofErr w:type="spellStart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>диагностизират</w:t>
      </w:r>
      <w:proofErr w:type="spellEnd"/>
      <w:r w:rsidRPr="00C647C3">
        <w:rPr>
          <w:rFonts w:ascii="Verdana" w:eastAsia="Times New Roman" w:hAnsi="Verdana" w:cs="Times New Roman"/>
          <w:sz w:val="24"/>
          <w:szCs w:val="24"/>
          <w:lang w:eastAsia="bg-BG"/>
        </w:rPr>
        <w:t xml:space="preserve"> след 30 г. възраст.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КТС може да се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диагностицира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преди раждането, чрез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фетална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сонография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магнитно-резонансна томография (МРТ), при които се виждат ранните мозъчни и сърдечни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Ранното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диагностициране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проследяването и лечението на симптомите, изясняване на историята на семейството, и за планиране консултациите със специалисти 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последващите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грижи са важни за болните с ТСК.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Децата засегнати от ТСК често проявяват широк спектър от прояви на ЦНС, сърдечни увреди, бъбречни кисти и кожни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Приблизително 85% от децата и юношите с КТС имат изяви от ЦНС. Клиничните изяви от ЦНС се причиняват от мозъчните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-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кортикални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тубери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СЕН или СЕГА и зависят от тяхната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локазизация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големина и множественост. Изявяват се неврологични, когнитивни, поведенчески, психиатрични симптоми като различни видове епилепсия, често с ранна изява на инфантилни спазми при синдрома на Уест,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последващ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синдром на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Леннокс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Гасто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фокални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пристъпи,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аутизъм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дефицит на вниманието и или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хиперактивност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и тежки поведенчески проблеми (агресия,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хиперактивност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обсесивно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поведение и умствени увреждания). Съществува значителна хетерогенност в проявите на ЦНС на ТСК. Спектърът включва от нормален интелект и липса на епилептични пристъпи до различна степен на умствена изостаналост и тежка, терапевтично-резистентна епилепсия. 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Епилепсията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 сред най-разпространените неврологичните прояви на ТСК- между 60 и 90%. Видовете епилептични припадъци зависят от локализацията на мозъчните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тубери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най-често са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фокални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припадъци или инфантилни спазми при започващия в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кърмаческата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възраст синдром на Уест. Епилепсията при КТС не се повлиява от медикаментозна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антиепилептична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терапия в 85% от случаите. </w:t>
      </w:r>
    </w:p>
    <w:p w:rsidR="001F12CE" w:rsidRPr="00C647C3" w:rsidRDefault="001F12CE" w:rsidP="001F12CE">
      <w:pPr>
        <w:keepNext/>
        <w:keepLines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C647C3">
        <w:rPr>
          <w:rFonts w:ascii="Symbol" w:eastAsia="Symbol" w:hAnsi="Symbol" w:cs="Symbol"/>
          <w:color w:val="000000"/>
          <w:sz w:val="24"/>
          <w:szCs w:val="24"/>
          <w:lang w:eastAsia="bg-BG"/>
        </w:rPr>
        <w:t></w:t>
      </w:r>
      <w:r w:rsidRPr="00C647C3">
        <w:rPr>
          <w:rFonts w:ascii="Verdana" w:eastAsia="Symbol" w:hAnsi="Verdana" w:cs="Times New Roman"/>
          <w:color w:val="000000"/>
          <w:sz w:val="14"/>
          <w:szCs w:val="14"/>
          <w:lang w:eastAsia="bg-BG"/>
        </w:rPr>
        <w:t xml:space="preserve"> </w:t>
      </w:r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Около 50% от децата с КТС също имат и </w:t>
      </w:r>
      <w:proofErr w:type="spellStart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хиперактивно</w:t>
      </w:r>
      <w:proofErr w:type="spellEnd"/>
      <w:r w:rsidRPr="00C647C3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поведение и или дефицит на внимание.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bg-BG"/>
        </w:rPr>
        <w:t>Бъбречните доброкачествени тумори</w:t>
      </w:r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 (</w:t>
      </w:r>
      <w:proofErr w:type="spellStart"/>
      <w:r w:rsidRPr="00C647C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) при ТСК са множествени и двустранни, нарастват бавно, изявяват се в пубертета и младата възраст и са налице при </w:t>
      </w:r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en-US" w:eastAsia="bg-BG"/>
        </w:rPr>
        <w:t xml:space="preserve">56 </w:t>
      </w:r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до 80% от пациентите. Бъбречни кисти се установяват при 20-30%. </w:t>
      </w:r>
      <w:proofErr w:type="spellStart"/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>Ангиомиолипомите</w:t>
      </w:r>
      <w:proofErr w:type="spellEnd"/>
      <w:r w:rsidRPr="00C647C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 и бъбречните кисти се визуализират чрез бъбречна ехография, при КТ или МРТ на коремни органи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Спонтанно кървене е често срещаното усложнение, свързано с бъбречните тумори, особено когато те достигнат диаметър ≥4 см. Бъбречни кисти и бъбречно-клетъчен карцином също са по-често срещани при възрастното население.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Белодробните симптоми</w:t>
      </w: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лимфангиолейомиоматоза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учестено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дишане, недостиг на въздух, белодробен колапс, кашлица и болки в гръдния кош, също може да са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характерти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диагнозата ТСК при възрастни.</w:t>
      </w:r>
    </w:p>
    <w:p w:rsidR="001F12CE" w:rsidRPr="00C647C3" w:rsidRDefault="001F12CE" w:rsidP="001F12CE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Възрастните, при които са налични двустранни и/ или множествени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ангиомиолипоми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бъбречна симптоматика, или свързани с ТСК кожни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лезии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трябва да бъдат задължително изследвани и </w:t>
      </w:r>
      <w:proofErr w:type="spellStart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диагностицирани</w:t>
      </w:r>
      <w:proofErr w:type="spellEnd"/>
      <w:r w:rsidRPr="00C647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допълнително за ТСК, дори и при липса на семейна история, епилептични припадъци или интелектуални затруднения.</w:t>
      </w:r>
    </w:p>
    <w:p w:rsidR="001F12CE" w:rsidRPr="00C647C3" w:rsidRDefault="001F12CE" w:rsidP="001F12CE">
      <w:pPr>
        <w:widowControl w:val="0"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2" w:name="_GoBack"/>
      <w:bookmarkEnd w:id="2"/>
    </w:p>
    <w:sectPr w:rsidR="001F12CE" w:rsidRPr="00C64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9A3"/>
    <w:multiLevelType w:val="multilevel"/>
    <w:tmpl w:val="77AA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40"/>
    <w:rsid w:val="001F12CE"/>
    <w:rsid w:val="00326A40"/>
    <w:rsid w:val="004B5D89"/>
    <w:rsid w:val="0071118C"/>
    <w:rsid w:val="0075165C"/>
    <w:rsid w:val="007F78FA"/>
    <w:rsid w:val="00823905"/>
    <w:rsid w:val="009369B7"/>
    <w:rsid w:val="00A52E23"/>
    <w:rsid w:val="00AC5DB1"/>
    <w:rsid w:val="00C314A0"/>
    <w:rsid w:val="00C647C3"/>
    <w:rsid w:val="00D1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7F78F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7F78FA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7F78F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7F78FA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531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068215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91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2320</Words>
  <Characters>13230</Characters>
  <Application>Microsoft Office Word</Application>
  <DocSecurity>0</DocSecurity>
  <Lines>110</Lines>
  <Paragraphs>31</Paragraphs>
  <ScaleCrop>false</ScaleCrop>
  <Company>NZOK</Company>
  <LinksUpToDate>false</LinksUpToDate>
  <CharactersWithSpaces>15519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Тенчева</dc:creator>
  <cp:keywords/>
  <dc:description/>
  <cp:lastModifiedBy>Асен Николов Божков</cp:lastModifiedBy>
  <cp:revision>6</cp:revision>
  <dcterms:created xsi:type="dcterms:W3CDTF">2020-03-16T14:42:00Z</dcterms:created>
  <dcterms:modified xsi:type="dcterms:W3CDTF">2022-10-31T12:00:00Z</dcterms:modified>
</cp:coreProperties>
</file>